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9" w:rsidRDefault="00F650A9" w:rsidP="00F650A9">
      <w:pPr>
        <w:tabs>
          <w:tab w:val="left" w:pos="567"/>
        </w:tabs>
        <w:ind w:right="-1"/>
        <w:rPr>
          <w:bCs/>
          <w:i/>
          <w:color w:val="4A442A" w:themeColor="background2" w:themeShade="40"/>
          <w:sz w:val="16"/>
          <w:szCs w:val="16"/>
        </w:rPr>
      </w:pPr>
      <w:proofErr w:type="spellStart"/>
      <w:r w:rsidRPr="00F650A9">
        <w:rPr>
          <w:bCs/>
          <w:i/>
          <w:color w:val="4A442A" w:themeColor="background2" w:themeShade="40"/>
          <w:sz w:val="16"/>
          <w:szCs w:val="16"/>
        </w:rPr>
        <w:t>Pos</w:t>
      </w:r>
      <w:proofErr w:type="spellEnd"/>
      <w:r w:rsidRPr="00F650A9">
        <w:rPr>
          <w:bCs/>
          <w:i/>
          <w:color w:val="4A442A" w:themeColor="background2" w:themeShade="40"/>
          <w:sz w:val="16"/>
          <w:szCs w:val="16"/>
        </w:rPr>
        <w:t>: AC-REO-DISA</w:t>
      </w:r>
    </w:p>
    <w:p w:rsidR="00F64364" w:rsidRPr="00F650A9" w:rsidRDefault="00F64364" w:rsidP="00F650A9">
      <w:pPr>
        <w:tabs>
          <w:tab w:val="left" w:pos="567"/>
        </w:tabs>
        <w:ind w:right="-1"/>
        <w:rPr>
          <w:bCs/>
          <w:i/>
          <w:color w:val="4A442A" w:themeColor="background2" w:themeShade="40"/>
          <w:sz w:val="16"/>
          <w:szCs w:val="16"/>
        </w:rPr>
      </w:pPr>
    </w:p>
    <w:p w:rsidR="003A0311" w:rsidRDefault="003A0311" w:rsidP="003A0311">
      <w:pPr>
        <w:tabs>
          <w:tab w:val="left" w:pos="567"/>
        </w:tabs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Al Consorzio di Gestione dell’Area Marina Protetta del Cerrano</w:t>
      </w:r>
    </w:p>
    <w:p w:rsidR="003A0311" w:rsidRDefault="006F0210" w:rsidP="003A0311">
      <w:pPr>
        <w:tabs>
          <w:tab w:val="left" w:pos="567"/>
        </w:tabs>
        <w:ind w:right="-1"/>
        <w:jc w:val="right"/>
        <w:rPr>
          <w:bCs/>
          <w:sz w:val="22"/>
          <w:szCs w:val="22"/>
        </w:rPr>
      </w:pPr>
      <w:r w:rsidRPr="006F0210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C9A3" wp14:editId="54CD3965">
                <wp:simplePos x="0" y="0"/>
                <wp:positionH relativeFrom="column">
                  <wp:posOffset>-4948</wp:posOffset>
                </wp:positionH>
                <wp:positionV relativeFrom="paragraph">
                  <wp:posOffset>45529</wp:posOffset>
                </wp:positionV>
                <wp:extent cx="2113280" cy="522317"/>
                <wp:effectExtent l="0" t="0" r="2032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2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D44" w:rsidRPr="006F0210" w:rsidRDefault="00E02D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0210">
                              <w:rPr>
                                <w:sz w:val="18"/>
                                <w:szCs w:val="18"/>
                              </w:rPr>
                              <w:t>PER CONSEGNA A MANO:</w:t>
                            </w:r>
                          </w:p>
                          <w:p w:rsidR="00E02D44" w:rsidRPr="006F0210" w:rsidRDefault="00E02D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Dependance </w:t>
                            </w:r>
                            <w:r w:rsidRPr="006F0210">
                              <w:rPr>
                                <w:sz w:val="22"/>
                                <w:szCs w:val="22"/>
                              </w:rPr>
                              <w:t>VILLA FILIANI via d’Annunzio 90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F0210">
                              <w:rPr>
                                <w:sz w:val="22"/>
                                <w:szCs w:val="22"/>
                              </w:rPr>
                              <w:t xml:space="preserve"> Pineto (Te)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pt;margin-top:3.6pt;width:166.4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">
                <v:textbox>
                  <w:txbxContent>
                    <w:p w:rsidR="00E02D44" w:rsidRPr="006F0210" w:rsidRDefault="00E02D44">
                      <w:pPr>
                        <w:rPr>
                          <w:sz w:val="18"/>
                          <w:szCs w:val="18"/>
                        </w:rPr>
                      </w:pPr>
                      <w:r w:rsidRPr="006F0210">
                        <w:rPr>
                          <w:sz w:val="18"/>
                          <w:szCs w:val="18"/>
                        </w:rPr>
                        <w:t>PER CONSEGNA A MANO:</w:t>
                      </w:r>
                    </w:p>
                    <w:p w:rsidR="00E02D44" w:rsidRPr="006F0210" w:rsidRDefault="00E02D4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Dependance </w:t>
                      </w:r>
                      <w:r w:rsidRPr="006F0210">
                        <w:rPr>
                          <w:sz w:val="22"/>
                          <w:szCs w:val="22"/>
                        </w:rPr>
                        <w:t>VILLA FILIANI via d’Annunzio 90</w:t>
                      </w:r>
                      <w:r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Pr="006F0210">
                        <w:rPr>
                          <w:sz w:val="22"/>
                          <w:szCs w:val="22"/>
                        </w:rPr>
                        <w:t xml:space="preserve"> Pineto (Te)</w:t>
                      </w:r>
                    </w:p>
                  </w:txbxContent>
                </v:textbox>
              </v:shape>
            </w:pict>
          </mc:Fallback>
        </mc:AlternateContent>
      </w:r>
      <w:r w:rsidR="003A0311">
        <w:rPr>
          <w:bCs/>
          <w:sz w:val="22"/>
          <w:szCs w:val="22"/>
        </w:rPr>
        <w:tab/>
      </w:r>
      <w:r w:rsidR="003A0311">
        <w:rPr>
          <w:bCs/>
          <w:sz w:val="22"/>
          <w:szCs w:val="22"/>
        </w:rPr>
        <w:tab/>
      </w:r>
      <w:r w:rsidR="003A0311">
        <w:rPr>
          <w:bCs/>
          <w:sz w:val="22"/>
          <w:szCs w:val="22"/>
        </w:rPr>
        <w:tab/>
      </w:r>
      <w:r w:rsidR="003A0311">
        <w:rPr>
          <w:bCs/>
          <w:sz w:val="22"/>
          <w:szCs w:val="22"/>
        </w:rPr>
        <w:tab/>
      </w:r>
      <w:r w:rsidR="003A0311">
        <w:rPr>
          <w:bCs/>
          <w:sz w:val="22"/>
          <w:szCs w:val="22"/>
        </w:rPr>
        <w:tab/>
      </w:r>
      <w:r w:rsidR="003A0311">
        <w:rPr>
          <w:bCs/>
          <w:sz w:val="22"/>
          <w:szCs w:val="22"/>
        </w:rPr>
        <w:tab/>
      </w:r>
      <w:r w:rsidR="003A0311">
        <w:rPr>
          <w:bCs/>
          <w:sz w:val="22"/>
          <w:szCs w:val="22"/>
        </w:rPr>
        <w:tab/>
        <w:t xml:space="preserve"> Casella Postale n.34 - 64025 Pineto (TE)</w:t>
      </w:r>
    </w:p>
    <w:p w:rsidR="003A0311" w:rsidRPr="00A84EBB" w:rsidRDefault="003A0311" w:rsidP="003A0311">
      <w:pPr>
        <w:tabs>
          <w:tab w:val="left" w:pos="567"/>
        </w:tabs>
        <w:ind w:right="-1"/>
        <w:jc w:val="both"/>
        <w:rPr>
          <w:bCs/>
          <w:sz w:val="22"/>
          <w:szCs w:val="22"/>
          <w:lang w:val="en-US"/>
        </w:rPr>
      </w:pP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</w:r>
      <w:r w:rsidRPr="008E01A7">
        <w:rPr>
          <w:bCs/>
          <w:sz w:val="22"/>
          <w:szCs w:val="22"/>
        </w:rPr>
        <w:tab/>
        <w:t xml:space="preserve">   </w:t>
      </w:r>
      <w:r w:rsidRPr="00A84EBB">
        <w:rPr>
          <w:bCs/>
          <w:sz w:val="22"/>
          <w:szCs w:val="22"/>
          <w:lang w:val="en-US"/>
        </w:rPr>
        <w:t xml:space="preserve">Email: </w:t>
      </w:r>
      <w:hyperlink r:id="rId9" w:history="1">
        <w:r w:rsidR="003A0818" w:rsidRPr="00B75F70">
          <w:rPr>
            <w:rStyle w:val="Collegamentoipertestuale"/>
            <w:bCs/>
            <w:sz w:val="22"/>
            <w:szCs w:val="22"/>
            <w:lang w:val="en-US"/>
          </w:rPr>
          <w:t>protocollo@torredelcerrano.it</w:t>
        </w:r>
      </w:hyperlink>
    </w:p>
    <w:p w:rsidR="003A0311" w:rsidRPr="00140EC5" w:rsidRDefault="003A0311" w:rsidP="003A0311">
      <w:pPr>
        <w:tabs>
          <w:tab w:val="left" w:pos="567"/>
        </w:tabs>
        <w:ind w:right="-1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 w:rsidRPr="00140EC5">
        <w:rPr>
          <w:bCs/>
          <w:sz w:val="22"/>
          <w:szCs w:val="22"/>
          <w:lang w:val="en-US"/>
        </w:rPr>
        <w:t xml:space="preserve">   PEC: </w:t>
      </w:r>
      <w:hyperlink r:id="rId10" w:history="1">
        <w:r w:rsidRPr="00140EC5">
          <w:rPr>
            <w:rStyle w:val="Collegamentoipertestuale"/>
            <w:bCs/>
            <w:sz w:val="22"/>
            <w:szCs w:val="22"/>
            <w:lang w:val="en-US"/>
          </w:rPr>
          <w:t>torredelcerrano@pec.it</w:t>
        </w:r>
      </w:hyperlink>
      <w:r w:rsidRPr="00140EC5">
        <w:rPr>
          <w:bCs/>
          <w:sz w:val="22"/>
          <w:szCs w:val="22"/>
          <w:lang w:val="en-US"/>
        </w:rPr>
        <w:t xml:space="preserve"> </w:t>
      </w:r>
    </w:p>
    <w:p w:rsidR="00AF244D" w:rsidRPr="00140EC5" w:rsidRDefault="00AF244D" w:rsidP="003A0311">
      <w:pPr>
        <w:tabs>
          <w:tab w:val="left" w:pos="567"/>
        </w:tabs>
        <w:ind w:right="-1"/>
        <w:jc w:val="both"/>
        <w:rPr>
          <w:bCs/>
          <w:sz w:val="22"/>
          <w:szCs w:val="22"/>
          <w:lang w:val="en-US"/>
        </w:rPr>
      </w:pPr>
    </w:p>
    <w:p w:rsidR="003A0311" w:rsidRDefault="003A0311" w:rsidP="003A0311">
      <w:pPr>
        <w:tabs>
          <w:tab w:val="left" w:pos="567"/>
        </w:tabs>
        <w:ind w:right="-1"/>
        <w:jc w:val="both"/>
        <w:rPr>
          <w:bCs/>
          <w:sz w:val="22"/>
          <w:szCs w:val="22"/>
          <w:lang w:val="en-US"/>
        </w:rPr>
      </w:pPr>
    </w:p>
    <w:p w:rsidR="00F64364" w:rsidRPr="00140EC5" w:rsidRDefault="00F64364" w:rsidP="003A0311">
      <w:pPr>
        <w:tabs>
          <w:tab w:val="left" w:pos="567"/>
        </w:tabs>
        <w:ind w:right="-1"/>
        <w:jc w:val="both"/>
        <w:rPr>
          <w:bCs/>
          <w:sz w:val="22"/>
          <w:szCs w:val="22"/>
          <w:lang w:val="en-US"/>
        </w:rPr>
      </w:pPr>
    </w:p>
    <w:p w:rsidR="003A0311" w:rsidRPr="002E2CD8" w:rsidRDefault="003A0311" w:rsidP="002E2CD8">
      <w:pPr>
        <w:tabs>
          <w:tab w:val="left" w:pos="567"/>
        </w:tabs>
        <w:ind w:right="-1"/>
        <w:jc w:val="both"/>
        <w:rPr>
          <w:bCs/>
          <w:color w:val="C00000"/>
          <w:sz w:val="20"/>
          <w:szCs w:val="20"/>
        </w:rPr>
      </w:pPr>
      <w:r w:rsidRPr="00C40EE7">
        <w:rPr>
          <w:bCs/>
          <w:sz w:val="22"/>
          <w:szCs w:val="22"/>
        </w:rPr>
        <w:t xml:space="preserve">Oggetto: </w:t>
      </w:r>
      <w:r w:rsidRPr="002E2CD8">
        <w:rPr>
          <w:b/>
          <w:bCs/>
          <w:color w:val="C00000"/>
          <w:sz w:val="20"/>
          <w:szCs w:val="20"/>
        </w:rPr>
        <w:t xml:space="preserve">Richiesta autorizzazione </w:t>
      </w:r>
      <w:r w:rsidR="00C64831">
        <w:rPr>
          <w:b/>
          <w:bCs/>
          <w:color w:val="C00000"/>
          <w:sz w:val="22"/>
          <w:szCs w:val="22"/>
        </w:rPr>
        <w:t>SEAWATCHING</w:t>
      </w:r>
      <w:r w:rsidR="00732B05">
        <w:rPr>
          <w:b/>
          <w:bCs/>
          <w:color w:val="C00000"/>
          <w:sz w:val="22"/>
          <w:szCs w:val="22"/>
        </w:rPr>
        <w:t xml:space="preserve"> (</w:t>
      </w:r>
      <w:r w:rsidR="00732B05" w:rsidRPr="00191048">
        <w:rPr>
          <w:b/>
          <w:bCs/>
          <w:color w:val="C00000"/>
        </w:rPr>
        <w:t>snorkeling guidato</w:t>
      </w:r>
      <w:r w:rsidR="00732B05">
        <w:rPr>
          <w:b/>
          <w:bCs/>
          <w:color w:val="C00000"/>
          <w:sz w:val="22"/>
          <w:szCs w:val="22"/>
        </w:rPr>
        <w:t>)</w:t>
      </w:r>
      <w:r w:rsidR="001F078E">
        <w:rPr>
          <w:b/>
          <w:bCs/>
          <w:color w:val="C00000"/>
          <w:sz w:val="20"/>
          <w:szCs w:val="20"/>
        </w:rPr>
        <w:t xml:space="preserve"> </w:t>
      </w:r>
      <w:r w:rsidR="002E2CD8">
        <w:rPr>
          <w:b/>
          <w:bCs/>
          <w:color w:val="C00000"/>
          <w:sz w:val="20"/>
          <w:szCs w:val="20"/>
        </w:rPr>
        <w:t xml:space="preserve">- </w:t>
      </w:r>
      <w:r w:rsidRPr="002E2CD8">
        <w:rPr>
          <w:b/>
          <w:bCs/>
          <w:color w:val="C00000"/>
          <w:sz w:val="20"/>
          <w:szCs w:val="20"/>
        </w:rPr>
        <w:t>AMP Torre del Cerrano.</w:t>
      </w:r>
    </w:p>
    <w:p w:rsidR="003A0311" w:rsidRDefault="003A0311" w:rsidP="003A031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</w:p>
    <w:p w:rsidR="003A0311" w:rsidRDefault="003A0311" w:rsidP="003421C1">
      <w:pPr>
        <w:tabs>
          <w:tab w:val="left" w:pos="567"/>
        </w:tabs>
        <w:spacing w:line="360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Io sottoscritto</w:t>
      </w:r>
      <w:r w:rsidR="00605F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_______________________________________nato a ________________il __________ e </w:t>
      </w:r>
      <w:r w:rsidR="003421C1">
        <w:rPr>
          <w:bCs/>
          <w:sz w:val="22"/>
          <w:szCs w:val="22"/>
        </w:rPr>
        <w:t>residente</w:t>
      </w:r>
      <w:r>
        <w:rPr>
          <w:bCs/>
          <w:sz w:val="22"/>
          <w:szCs w:val="22"/>
        </w:rPr>
        <w:t xml:space="preserve"> in Via/Piazza __</w:t>
      </w:r>
      <w:r w:rsidR="00AB504D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>___________________ città __________</w:t>
      </w:r>
      <w:r w:rsidR="00140EC5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 xml:space="preserve">___ </w:t>
      </w:r>
      <w:proofErr w:type="spellStart"/>
      <w:r>
        <w:rPr>
          <w:bCs/>
          <w:sz w:val="22"/>
          <w:szCs w:val="22"/>
        </w:rPr>
        <w:t>cap</w:t>
      </w:r>
      <w:proofErr w:type="spellEnd"/>
      <w:r>
        <w:rPr>
          <w:bCs/>
          <w:sz w:val="22"/>
          <w:szCs w:val="22"/>
        </w:rPr>
        <w:t xml:space="preserve">  __________, </w:t>
      </w:r>
      <w:r w:rsidR="003421C1">
        <w:rPr>
          <w:bCs/>
          <w:sz w:val="22"/>
          <w:szCs w:val="22"/>
        </w:rPr>
        <w:t xml:space="preserve">in qualità di </w:t>
      </w:r>
      <w:r w:rsidR="00FF295C">
        <w:rPr>
          <w:bCs/>
          <w:sz w:val="22"/>
          <w:szCs w:val="22"/>
        </w:rPr>
        <w:t>_______________</w:t>
      </w:r>
      <w:r w:rsidR="0071441D">
        <w:rPr>
          <w:bCs/>
          <w:sz w:val="22"/>
          <w:szCs w:val="22"/>
        </w:rPr>
        <w:t>___________</w:t>
      </w:r>
      <w:r w:rsidR="00AB504D">
        <w:rPr>
          <w:bCs/>
          <w:sz w:val="22"/>
          <w:szCs w:val="22"/>
        </w:rPr>
        <w:t>_____</w:t>
      </w:r>
      <w:r w:rsidR="0071441D">
        <w:rPr>
          <w:bCs/>
          <w:sz w:val="22"/>
          <w:szCs w:val="22"/>
        </w:rPr>
        <w:t>_____</w:t>
      </w:r>
      <w:r w:rsidR="00AB504D">
        <w:rPr>
          <w:bCs/>
          <w:sz w:val="22"/>
          <w:szCs w:val="22"/>
        </w:rPr>
        <w:t xml:space="preserve"> </w:t>
      </w:r>
      <w:r w:rsidR="0071441D" w:rsidRPr="00FF295C">
        <w:rPr>
          <w:bCs/>
          <w:sz w:val="16"/>
          <w:szCs w:val="16"/>
        </w:rPr>
        <w:t>(</w:t>
      </w:r>
      <w:r w:rsidR="0071441D" w:rsidRPr="00FF295C">
        <w:rPr>
          <w:bCs/>
          <w:i/>
          <w:sz w:val="16"/>
          <w:szCs w:val="16"/>
        </w:rPr>
        <w:t>Direttore tecnico/Titolare</w:t>
      </w:r>
      <w:r w:rsidR="00FD2ED5">
        <w:rPr>
          <w:bCs/>
          <w:i/>
          <w:sz w:val="16"/>
          <w:szCs w:val="16"/>
        </w:rPr>
        <w:t>/Presidente/Altro (specificare)</w:t>
      </w:r>
      <w:r w:rsidR="0071441D" w:rsidRPr="00FF295C">
        <w:rPr>
          <w:bCs/>
          <w:sz w:val="16"/>
          <w:szCs w:val="16"/>
        </w:rPr>
        <w:t>)</w:t>
      </w:r>
      <w:r w:rsidR="003421C1" w:rsidRPr="00FF295C">
        <w:rPr>
          <w:bCs/>
          <w:sz w:val="16"/>
          <w:szCs w:val="16"/>
        </w:rPr>
        <w:t xml:space="preserve"> </w:t>
      </w:r>
      <w:r w:rsidR="003421C1">
        <w:rPr>
          <w:bCs/>
          <w:sz w:val="22"/>
          <w:szCs w:val="22"/>
        </w:rPr>
        <w:t>del seguente centro __________</w:t>
      </w:r>
      <w:r w:rsidR="00FF295C">
        <w:rPr>
          <w:bCs/>
          <w:sz w:val="22"/>
          <w:szCs w:val="22"/>
        </w:rPr>
        <w:t>_____________</w:t>
      </w:r>
      <w:r w:rsidR="003421C1">
        <w:rPr>
          <w:bCs/>
          <w:sz w:val="22"/>
          <w:szCs w:val="22"/>
        </w:rPr>
        <w:t>________</w:t>
      </w:r>
      <w:r w:rsidR="00AB504D">
        <w:rPr>
          <w:bCs/>
          <w:sz w:val="22"/>
          <w:szCs w:val="22"/>
        </w:rPr>
        <w:t>_____________________________</w:t>
      </w:r>
      <w:r w:rsidR="003421C1">
        <w:rPr>
          <w:bCs/>
          <w:sz w:val="22"/>
          <w:szCs w:val="22"/>
        </w:rPr>
        <w:t xml:space="preserve"> con sede in</w:t>
      </w:r>
      <w:r w:rsidR="000840F5">
        <w:rPr>
          <w:bCs/>
          <w:sz w:val="22"/>
          <w:szCs w:val="22"/>
        </w:rPr>
        <w:t xml:space="preserve"> </w:t>
      </w:r>
      <w:r w:rsidR="003421C1">
        <w:rPr>
          <w:bCs/>
          <w:sz w:val="22"/>
          <w:szCs w:val="22"/>
        </w:rPr>
        <w:t>Via/Piazza _____</w:t>
      </w:r>
      <w:r w:rsidR="00FF295C">
        <w:rPr>
          <w:bCs/>
          <w:sz w:val="22"/>
          <w:szCs w:val="22"/>
        </w:rPr>
        <w:t>___</w:t>
      </w:r>
      <w:r w:rsidR="00AB504D">
        <w:rPr>
          <w:bCs/>
          <w:sz w:val="22"/>
          <w:szCs w:val="22"/>
        </w:rPr>
        <w:t xml:space="preserve">____________________ città </w:t>
      </w:r>
      <w:r w:rsidR="003421C1">
        <w:rPr>
          <w:bCs/>
          <w:sz w:val="22"/>
          <w:szCs w:val="22"/>
        </w:rPr>
        <w:t>___</w:t>
      </w:r>
      <w:r w:rsidR="00FF295C">
        <w:rPr>
          <w:bCs/>
          <w:sz w:val="22"/>
          <w:szCs w:val="22"/>
        </w:rPr>
        <w:t>__________________</w:t>
      </w:r>
      <w:r w:rsidR="003421C1">
        <w:rPr>
          <w:bCs/>
          <w:sz w:val="22"/>
          <w:szCs w:val="22"/>
        </w:rPr>
        <w:t xml:space="preserve">______ </w:t>
      </w:r>
      <w:proofErr w:type="spellStart"/>
      <w:r w:rsidR="003421C1">
        <w:rPr>
          <w:bCs/>
          <w:sz w:val="22"/>
          <w:szCs w:val="22"/>
        </w:rPr>
        <w:t>cap</w:t>
      </w:r>
      <w:proofErr w:type="spellEnd"/>
      <w:r w:rsidR="003421C1">
        <w:rPr>
          <w:bCs/>
          <w:sz w:val="22"/>
          <w:szCs w:val="22"/>
        </w:rPr>
        <w:t xml:space="preserve">  __________</w:t>
      </w:r>
      <w:r w:rsidR="001F078E">
        <w:rPr>
          <w:bCs/>
          <w:sz w:val="22"/>
          <w:szCs w:val="22"/>
        </w:rPr>
        <w:t>,</w:t>
      </w:r>
      <w:r w:rsidR="00140EC5">
        <w:rPr>
          <w:bCs/>
          <w:sz w:val="16"/>
          <w:szCs w:val="16"/>
        </w:rPr>
        <w:t xml:space="preserve"> </w:t>
      </w:r>
      <w:r>
        <w:rPr>
          <w:bCs/>
          <w:sz w:val="22"/>
          <w:szCs w:val="22"/>
        </w:rPr>
        <w:t>raggiungibile ai seguenti riferimenti</w:t>
      </w:r>
      <w:r w:rsidR="002E2C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tel._____</w:t>
      </w:r>
      <w:r w:rsidR="00AB504D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</w:t>
      </w:r>
      <w:r w:rsidR="00AB50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email______________</w:t>
      </w:r>
      <w:r w:rsidR="00AB504D">
        <w:rPr>
          <w:bCs/>
          <w:sz w:val="22"/>
          <w:szCs w:val="22"/>
        </w:rPr>
        <w:t>_________________</w:t>
      </w:r>
      <w:r w:rsidR="003421C1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 xml:space="preserve">, </w:t>
      </w:r>
    </w:p>
    <w:p w:rsidR="00113918" w:rsidRDefault="00113918" w:rsidP="00113918">
      <w:pPr>
        <w:tabs>
          <w:tab w:val="left" w:pos="567"/>
        </w:tabs>
        <w:spacing w:line="360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 __________________________________________________________________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CHIEDE</w:t>
      </w:r>
    </w:p>
    <w:p w:rsidR="00FF295C" w:rsidRDefault="003A0311" w:rsidP="00572E8E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l’autorizzazione allo svolgimento dell’attività di </w:t>
      </w:r>
      <w:r w:rsidR="00FD2ED5">
        <w:rPr>
          <w:b/>
          <w:bCs/>
          <w:sz w:val="22"/>
          <w:szCs w:val="22"/>
        </w:rPr>
        <w:t>SEAWATCHING</w:t>
      </w:r>
      <w:r w:rsidR="00FD2ED5" w:rsidRPr="00FD2ED5">
        <w:rPr>
          <w:bCs/>
          <w:sz w:val="22"/>
          <w:szCs w:val="22"/>
        </w:rPr>
        <w:t xml:space="preserve">, </w:t>
      </w:r>
      <w:r w:rsidR="00732B05">
        <w:rPr>
          <w:bCs/>
          <w:sz w:val="22"/>
          <w:szCs w:val="22"/>
        </w:rPr>
        <w:t>definite ai sensi dell’art. 2</w:t>
      </w:r>
      <w:r w:rsidR="00FD2ED5">
        <w:rPr>
          <w:bCs/>
          <w:sz w:val="22"/>
          <w:szCs w:val="22"/>
        </w:rPr>
        <w:t xml:space="preserve"> co. 1 </w:t>
      </w:r>
      <w:proofErr w:type="spellStart"/>
      <w:r w:rsidR="00FD2ED5">
        <w:rPr>
          <w:bCs/>
          <w:sz w:val="22"/>
          <w:szCs w:val="22"/>
        </w:rPr>
        <w:t>lett</w:t>
      </w:r>
      <w:proofErr w:type="spellEnd"/>
      <w:r w:rsidR="00FD2ED5">
        <w:rPr>
          <w:bCs/>
          <w:sz w:val="22"/>
          <w:szCs w:val="22"/>
        </w:rPr>
        <w:t xml:space="preserve">. cc) del </w:t>
      </w:r>
      <w:r w:rsidR="00FD2ED5" w:rsidRPr="00FD2ED5">
        <w:rPr>
          <w:bCs/>
          <w:sz w:val="22"/>
          <w:szCs w:val="22"/>
        </w:rPr>
        <w:t>D.M. n.11 del 12 gennaio 2017</w:t>
      </w:r>
      <w:r w:rsidR="00572E8E">
        <w:rPr>
          <w:bCs/>
          <w:sz w:val="22"/>
          <w:szCs w:val="22"/>
        </w:rPr>
        <w:t xml:space="preserve"> come « </w:t>
      </w:r>
      <w:r w:rsidR="00572E8E">
        <w:rPr>
          <w:bCs/>
          <w:i/>
          <w:sz w:val="22"/>
          <w:szCs w:val="22"/>
        </w:rPr>
        <w:t>le attività  professionali di</w:t>
      </w:r>
      <w:r w:rsidR="00572E8E" w:rsidRPr="00572E8E">
        <w:rPr>
          <w:bCs/>
          <w:i/>
          <w:sz w:val="22"/>
          <w:szCs w:val="22"/>
        </w:rPr>
        <w:t xml:space="preserve"> </w:t>
      </w:r>
      <w:r w:rsidR="00572E8E" w:rsidRPr="00F871E1">
        <w:rPr>
          <w:b/>
          <w:bCs/>
          <w:i/>
          <w:sz w:val="22"/>
          <w:szCs w:val="22"/>
        </w:rPr>
        <w:t>snorkeling guidato</w:t>
      </w:r>
      <w:r w:rsidR="00572E8E" w:rsidRPr="00572E8E">
        <w:rPr>
          <w:bCs/>
          <w:i/>
          <w:sz w:val="22"/>
          <w:szCs w:val="22"/>
        </w:rPr>
        <w:t>, svolte da guide o istruttori afferenti ai centri autorizzati</w:t>
      </w:r>
      <w:r w:rsidR="00572E8E">
        <w:rPr>
          <w:bCs/>
          <w:i/>
          <w:sz w:val="22"/>
          <w:szCs w:val="22"/>
        </w:rPr>
        <w:t xml:space="preserve"> dal soggetto gestore, finalizzate all'osservazione </w:t>
      </w:r>
      <w:r w:rsidR="00572E8E" w:rsidRPr="00572E8E">
        <w:rPr>
          <w:bCs/>
          <w:i/>
          <w:sz w:val="22"/>
          <w:szCs w:val="22"/>
        </w:rPr>
        <w:t>dell'ambiente</w:t>
      </w:r>
      <w:r w:rsidR="00572E8E">
        <w:rPr>
          <w:bCs/>
          <w:i/>
          <w:sz w:val="22"/>
          <w:szCs w:val="22"/>
        </w:rPr>
        <w:t xml:space="preserve"> </w:t>
      </w:r>
      <w:r w:rsidR="00572E8E" w:rsidRPr="00572E8E">
        <w:rPr>
          <w:bCs/>
          <w:i/>
          <w:sz w:val="22"/>
          <w:szCs w:val="22"/>
        </w:rPr>
        <w:t>marino, in superficie</w:t>
      </w:r>
      <w:r w:rsidR="00572E8E">
        <w:rPr>
          <w:bCs/>
          <w:sz w:val="22"/>
          <w:szCs w:val="22"/>
        </w:rPr>
        <w:t>»</w:t>
      </w:r>
      <w:r w:rsidR="00625F45" w:rsidRPr="00FD2ED5">
        <w:rPr>
          <w:bCs/>
          <w:sz w:val="22"/>
          <w:szCs w:val="22"/>
        </w:rPr>
        <w:t>,</w:t>
      </w:r>
      <w:r w:rsidR="00625F45">
        <w:rPr>
          <w:b/>
          <w:bCs/>
          <w:sz w:val="22"/>
          <w:szCs w:val="22"/>
        </w:rPr>
        <w:t xml:space="preserve"> </w:t>
      </w:r>
      <w:r w:rsidR="00421B51">
        <w:rPr>
          <w:bCs/>
          <w:sz w:val="22"/>
          <w:szCs w:val="22"/>
        </w:rPr>
        <w:t>all’interno dell’Area Marina Protetta Torre del Cerrano per il</w:t>
      </w:r>
      <w:r w:rsidR="00572E8E">
        <w:rPr>
          <w:bCs/>
          <w:sz w:val="22"/>
          <w:szCs w:val="22"/>
        </w:rPr>
        <w:t>/la</w:t>
      </w:r>
      <w:r w:rsidR="00421B51">
        <w:rPr>
          <w:bCs/>
          <w:sz w:val="22"/>
          <w:szCs w:val="22"/>
        </w:rPr>
        <w:t xml:space="preserve"> </w:t>
      </w:r>
      <w:r w:rsidR="00572E8E">
        <w:rPr>
          <w:bCs/>
          <w:sz w:val="22"/>
          <w:szCs w:val="22"/>
        </w:rPr>
        <w:t>settimana/</w:t>
      </w:r>
      <w:r w:rsidR="00421B51">
        <w:rPr>
          <w:bCs/>
          <w:sz w:val="22"/>
          <w:szCs w:val="22"/>
        </w:rPr>
        <w:t>mese/l’anno ______________________________________</w:t>
      </w:r>
      <w:r w:rsidR="00625F45">
        <w:rPr>
          <w:b/>
          <w:bCs/>
          <w:sz w:val="22"/>
          <w:szCs w:val="22"/>
        </w:rPr>
        <w:t>ai sensi dell’art.1</w:t>
      </w:r>
      <w:r w:rsidR="00FD2ED5">
        <w:rPr>
          <w:b/>
          <w:bCs/>
          <w:sz w:val="22"/>
          <w:szCs w:val="22"/>
        </w:rPr>
        <w:t>9</w:t>
      </w:r>
      <w:r w:rsidRPr="00DE75CC">
        <w:rPr>
          <w:b/>
          <w:bCs/>
          <w:sz w:val="22"/>
          <w:szCs w:val="22"/>
        </w:rPr>
        <w:t xml:space="preserve"> </w:t>
      </w:r>
      <w:r w:rsidRPr="00A37119">
        <w:rPr>
          <w:bCs/>
          <w:sz w:val="22"/>
          <w:szCs w:val="22"/>
        </w:rPr>
        <w:t>del</w:t>
      </w:r>
      <w:r w:rsidRPr="00DE75CC">
        <w:rPr>
          <w:b/>
          <w:bCs/>
          <w:sz w:val="22"/>
          <w:szCs w:val="22"/>
        </w:rPr>
        <w:t xml:space="preserve"> D.M. n.11 del 12 gennaio 2017</w:t>
      </w:r>
      <w:r>
        <w:rPr>
          <w:bCs/>
          <w:sz w:val="22"/>
          <w:szCs w:val="22"/>
        </w:rPr>
        <w:t xml:space="preserve">, Regolamento </w:t>
      </w:r>
      <w:r w:rsidR="00421B51">
        <w:rPr>
          <w:bCs/>
          <w:sz w:val="22"/>
          <w:szCs w:val="22"/>
        </w:rPr>
        <w:t xml:space="preserve">di Esecuzione e Organizzazione, </w:t>
      </w:r>
      <w:r w:rsidR="00A37119">
        <w:rPr>
          <w:bCs/>
          <w:sz w:val="22"/>
          <w:szCs w:val="22"/>
        </w:rPr>
        <w:t xml:space="preserve">e </w:t>
      </w:r>
      <w:r w:rsidR="00732B05">
        <w:rPr>
          <w:bCs/>
          <w:sz w:val="22"/>
          <w:szCs w:val="22"/>
        </w:rPr>
        <w:t>secondo quanto previsto da</w:t>
      </w:r>
      <w:r w:rsidR="00A37119">
        <w:rPr>
          <w:bCs/>
          <w:sz w:val="22"/>
          <w:szCs w:val="22"/>
        </w:rPr>
        <w:t>ll’</w:t>
      </w:r>
      <w:r w:rsidR="00FD2ED5">
        <w:rPr>
          <w:b/>
          <w:bCs/>
          <w:sz w:val="22"/>
          <w:szCs w:val="22"/>
        </w:rPr>
        <w:t>art. 8</w:t>
      </w:r>
      <w:r w:rsidR="00A37119">
        <w:rPr>
          <w:bCs/>
          <w:sz w:val="22"/>
          <w:szCs w:val="22"/>
        </w:rPr>
        <w:t xml:space="preserve"> del </w:t>
      </w:r>
      <w:r w:rsidR="00A37119" w:rsidRPr="00A37119">
        <w:rPr>
          <w:b/>
          <w:bCs/>
          <w:sz w:val="22"/>
          <w:szCs w:val="22"/>
        </w:rPr>
        <w:t>Disciplinare integrativo</w:t>
      </w:r>
      <w:r w:rsidR="00A37119">
        <w:rPr>
          <w:bCs/>
          <w:sz w:val="22"/>
          <w:szCs w:val="22"/>
        </w:rPr>
        <w:t xml:space="preserve"> al Regolamento di Esecuzione ed Organizzazione </w:t>
      </w:r>
      <w:r w:rsidR="00421B51">
        <w:rPr>
          <w:bCs/>
          <w:sz w:val="22"/>
          <w:szCs w:val="22"/>
        </w:rPr>
        <w:t xml:space="preserve">qui di seguito </w:t>
      </w:r>
      <w:r w:rsidR="00E92E9C">
        <w:rPr>
          <w:bCs/>
          <w:sz w:val="22"/>
          <w:szCs w:val="22"/>
        </w:rPr>
        <w:t xml:space="preserve">entrambi </w:t>
      </w:r>
      <w:r w:rsidR="00421B51">
        <w:rPr>
          <w:bCs/>
          <w:sz w:val="22"/>
          <w:szCs w:val="22"/>
        </w:rPr>
        <w:t xml:space="preserve">integralmente </w:t>
      </w:r>
      <w:r w:rsidR="00E92E9C">
        <w:rPr>
          <w:bCs/>
          <w:sz w:val="22"/>
          <w:szCs w:val="22"/>
        </w:rPr>
        <w:t>riportati</w:t>
      </w:r>
      <w:r w:rsidR="00FF295C">
        <w:rPr>
          <w:bCs/>
          <w:sz w:val="22"/>
          <w:szCs w:val="22"/>
        </w:rPr>
        <w:t xml:space="preserve">, di cui si </w:t>
      </w:r>
    </w:p>
    <w:p w:rsidR="00B21E71" w:rsidRDefault="00B21E71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</w:p>
    <w:p w:rsidR="00421B51" w:rsidRDefault="00FF295C" w:rsidP="00FF295C">
      <w:pPr>
        <w:tabs>
          <w:tab w:val="left" w:pos="567"/>
        </w:tabs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DICHIARA DI AVER PRESO VISIONE</w:t>
      </w:r>
    </w:p>
    <w:p w:rsidR="00FF295C" w:rsidRDefault="00FF295C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la presente</w:t>
      </w:r>
      <w:r w:rsidR="00191048">
        <w:rPr>
          <w:bCs/>
          <w:sz w:val="22"/>
          <w:szCs w:val="22"/>
        </w:rPr>
        <w:t>,</w:t>
      </w:r>
    </w:p>
    <w:p w:rsidR="00E92E9C" w:rsidRDefault="00E92E9C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</w:p>
    <w:p w:rsidR="00E02D44" w:rsidRDefault="00E02D44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</w:p>
    <w:p w:rsidR="00FF295C" w:rsidRDefault="00B21E71" w:rsidP="00525FFF">
      <w:pPr>
        <w:tabs>
          <w:tab w:val="left" w:pos="567"/>
        </w:tabs>
        <w:ind w:right="-1"/>
        <w:jc w:val="center"/>
        <w:rPr>
          <w:b/>
          <w:bCs/>
          <w:sz w:val="19"/>
          <w:szCs w:val="19"/>
        </w:rPr>
      </w:pPr>
      <w:r>
        <w:rPr>
          <w:bCs/>
          <w:sz w:val="19"/>
          <w:szCs w:val="19"/>
        </w:rPr>
        <w:t>de</w:t>
      </w:r>
      <w:r w:rsidR="00FF295C">
        <w:rPr>
          <w:bCs/>
          <w:sz w:val="19"/>
          <w:szCs w:val="19"/>
        </w:rPr>
        <w:t xml:space="preserve">l </w:t>
      </w:r>
      <w:r w:rsidR="00FF295C" w:rsidRPr="00FF295C">
        <w:rPr>
          <w:bCs/>
          <w:sz w:val="19"/>
          <w:szCs w:val="19"/>
        </w:rPr>
        <w:t>D.M. n.11 del 12 gennaio 2017, Regolamento di Esecuzione e Organizzazione</w:t>
      </w:r>
      <w:r w:rsidR="00FF295C">
        <w:rPr>
          <w:bCs/>
          <w:sz w:val="19"/>
          <w:szCs w:val="19"/>
        </w:rPr>
        <w:t>:</w:t>
      </w:r>
      <w:r w:rsidR="00FF295C" w:rsidRPr="00E92E9C">
        <w:rPr>
          <w:b/>
          <w:bCs/>
          <w:sz w:val="19"/>
          <w:szCs w:val="19"/>
        </w:rPr>
        <w:t xml:space="preserve"> </w:t>
      </w:r>
    </w:p>
    <w:p w:rsidR="00FF295C" w:rsidRDefault="00FF295C" w:rsidP="00525FFF">
      <w:pPr>
        <w:tabs>
          <w:tab w:val="left" w:pos="567"/>
        </w:tabs>
        <w:ind w:right="-1"/>
        <w:jc w:val="center"/>
        <w:rPr>
          <w:b/>
          <w:bCs/>
          <w:sz w:val="19"/>
          <w:szCs w:val="19"/>
        </w:rPr>
      </w:pPr>
    </w:p>
    <w:p w:rsidR="00525FFF" w:rsidRPr="00E92E9C" w:rsidRDefault="00572E8E" w:rsidP="00525FFF">
      <w:pPr>
        <w:tabs>
          <w:tab w:val="left" w:pos="567"/>
        </w:tabs>
        <w:ind w:right="-1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Art. 19</w:t>
      </w:r>
      <w:r w:rsidR="00525FFF" w:rsidRPr="00E92E9C">
        <w:rPr>
          <w:b/>
          <w:bCs/>
          <w:sz w:val="19"/>
          <w:szCs w:val="19"/>
        </w:rPr>
        <w:t xml:space="preserve">. - </w:t>
      </w:r>
      <w:r>
        <w:rPr>
          <w:b/>
          <w:bCs/>
          <w:sz w:val="19"/>
          <w:szCs w:val="19"/>
        </w:rPr>
        <w:t>Disciplina delle attività</w:t>
      </w:r>
      <w:r w:rsidRPr="00572E8E">
        <w:rPr>
          <w:b/>
          <w:bCs/>
          <w:sz w:val="19"/>
          <w:szCs w:val="19"/>
        </w:rPr>
        <w:t xml:space="preserve"> di </w:t>
      </w:r>
      <w:proofErr w:type="spellStart"/>
      <w:r w:rsidRPr="00572E8E">
        <w:rPr>
          <w:b/>
          <w:bCs/>
          <w:sz w:val="19"/>
          <w:szCs w:val="19"/>
        </w:rPr>
        <w:t>seawatching</w:t>
      </w:r>
      <w:proofErr w:type="spellEnd"/>
    </w:p>
    <w:p w:rsidR="00E92E9C" w:rsidRPr="00FF295C" w:rsidRDefault="00E92E9C" w:rsidP="00525FFF">
      <w:pPr>
        <w:tabs>
          <w:tab w:val="left" w:pos="567"/>
        </w:tabs>
        <w:ind w:right="-1"/>
        <w:jc w:val="center"/>
        <w:rPr>
          <w:bCs/>
          <w:sz w:val="16"/>
          <w:szCs w:val="16"/>
        </w:rPr>
      </w:pP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1. Sono c</w:t>
      </w:r>
      <w:r>
        <w:rPr>
          <w:rFonts w:ascii="Arial Narrow" w:hAnsi="Arial Narrow"/>
          <w:bCs/>
          <w:sz w:val="18"/>
          <w:szCs w:val="18"/>
        </w:rPr>
        <w:t xml:space="preserve">onsentite le visite guidate di </w:t>
      </w:r>
      <w:proofErr w:type="spellStart"/>
      <w:r>
        <w:rPr>
          <w:rFonts w:ascii="Arial Narrow" w:hAnsi="Arial Narrow"/>
          <w:bCs/>
          <w:sz w:val="18"/>
          <w:szCs w:val="18"/>
        </w:rPr>
        <w:t>seawatching</w:t>
      </w:r>
      <w:proofErr w:type="spellEnd"/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svolte  dai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centri  autorizzati  dal  soggetto  gestore   secondo   le   seguenti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modalit</w:t>
      </w:r>
      <w:r w:rsidR="00191048">
        <w:rPr>
          <w:rFonts w:ascii="Arial Narrow" w:hAnsi="Arial Narrow"/>
          <w:bCs/>
          <w:sz w:val="18"/>
          <w:szCs w:val="18"/>
        </w:rPr>
        <w:t>à</w:t>
      </w:r>
      <w:r w:rsidRPr="00572E8E">
        <w:rPr>
          <w:rFonts w:ascii="Arial Narrow" w:hAnsi="Arial Narrow"/>
          <w:bCs/>
          <w:sz w:val="18"/>
          <w:szCs w:val="18"/>
        </w:rPr>
        <w:t xml:space="preserve">: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a) esclusivamente con partenza da terra;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b) nei siti determinati dal soggetto gestore;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c) il numero di visitatori per ogni sito non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puo'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superare le  12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(dodici) persone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piu'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una guida del centro autorizzato;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d) non sono consentite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di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notturne.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2. Prima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dell'attivita'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di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e'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fatto obbligo ai centri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autorizzati di informare gli  utenti  riguardo  le  regole  dell'area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marina protetta,  l'importanza  dell'ecosistema,  le  caratteristiche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ambientali ed archeologiche del sito che si sta visitando e le  norme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di comportamento idoneo ai fini di non recare  disturbo  ai  fondali,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agli organismi e di non danneggiare i reperti archeologici.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3. Il responsabile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dell'attivita'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di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>,  prima  della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visita, deve annotare in apposito registro previamente  vidimato  dal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soggetto gestore i nominativi dei partecipanti, la data, l'orario, il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sito che si intende  visitare;  il  registro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dovra'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essere  esibito</w:t>
      </w:r>
      <w:r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all'autorita'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preposta al  controllo  o  al  personale  del  soggetto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gestore.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4. Il registro deve essere consegnato al soggetto  gestore  entro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il 30 novembre di ogni anno. I dati contenuti  nei  registri  saranno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utilizzati dal soggetto gestore per le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finalita'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istituzionali.  La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mancata  consegna  del  registro  comporta  l'immediata   sospensione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dell'autorizzazione per un mese; trascorso tale periodo, in  mancanza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della  consegna  del  registro  compilato,   l'autorizzazione 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sara'</w:t>
      </w:r>
      <w:proofErr w:type="spellEnd"/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revocata in via definitiva.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5. I centri di immersione, che  svolgono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l'attivita'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di  visite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guidate  subacquee  e  che  intendono  svolgere   anche   quella   di</w:t>
      </w:r>
      <w:r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devono esplicitarlo  nella  domanda  di  rilascio/rinnovo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dell'autorizzazione e dichiarare e comprovare, oltre ai requisiti  di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cui all'art. 18, il possesso dei requisiti richiesti per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l'attivita'</w:t>
      </w:r>
      <w:proofErr w:type="spellEnd"/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di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,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nonche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>'  dotarsi  delle   ulteriori   dotazioni   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attrezzature eventualmente necessarie per tale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.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6. Ai fini del rilascio dell'autorizzazione  per  lo  svolgimento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delle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di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i  centri  autorizzati  richiedenti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devono: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a) inviare al soggetto gestore  la  richiesta  di  autorizzazione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entro 30 giorni dalla data prevista per l'inizio delle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b) versare al soggetto  gestore  un  corrispettivo  a  titolo  di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diritto di segreteria e rimborso spese, secondo le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modalita'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indicate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al successivo art. 34;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lastRenderedPageBreak/>
        <w:t xml:space="preserve">    c)  indicare  la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validita'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e  gli  estremi  delle  abilitazioni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individuali (brevetti) e i titoli professionali posseduti,  (brevetti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di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idoneita'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per  il  salvataggio  a  mare)  di  ciascuna  guida  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istruttore operante in nome e per conto del centro;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d) indicare  il  possesso  di  una  specifica  assicurazione  per</w:t>
      </w:r>
      <w:r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responsabilita'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 civile   derivante 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dall'attivita'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 professionale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esercitata, per ogni singolo soggetto che operi in nome o  per  conto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del centro;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7. In relazione alle esigenze di  tutela  ambientale  sottese  al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provvedimento  istitutivo,  resta  salva  la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facolta'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del  soggetto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gestore, a seguito del  monitoraggio  effettuato  per  verificare  la</w:t>
      </w:r>
      <w:r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capacita'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di carico dei siti dedicati al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>, di adeguare con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successivi provvedimenti,  sentita  la  Commissione  di  riserva,  la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disciplina delle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di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, prevedendo: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a) il numero massimo di autorizzazioni;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b) i siti dedicati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all'attivita'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di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c) il numero massimo di visite al giorno, per ciascun sito  e  in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totale;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d)  un'adeguata  turnazione  tra  i  diversi  siti  dedicati   al</w:t>
      </w:r>
      <w:r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seawatching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, le visite guidate subacquee e le immersioni subacquee;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e) gli eventuali  incentivi  per  la  destagionalizzazione  delle</w:t>
      </w:r>
      <w:r>
        <w:rPr>
          <w:rFonts w:ascii="Arial Narrow" w:hAnsi="Arial Narrow"/>
          <w:bCs/>
          <w:sz w:val="18"/>
          <w:szCs w:val="18"/>
        </w:rPr>
        <w:t xml:space="preserve">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;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f) criteri  e  requisiti  per  eventuali  misure  di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premialita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>'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ambientale.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8. Il rilascio dell'autorizzazione comporta l'obbligo di  fornire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agli utenti l'apposito materiale informativo predisposto dal soggetto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gestore. </w:t>
      </w:r>
    </w:p>
    <w:p w:rsidR="00572E8E" w:rsidRPr="00572E8E" w:rsidRDefault="00572E8E" w:rsidP="00572E8E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9.    Il    rilascio    dell'autorizzazione  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e'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    subordinata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all'acquisizione della formale dichiarazione da parte del richiedente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di  presa  visione  del  decreto  di  istituzione  dell'area   marina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protetta, del regolamento di disciplina, del presente regolamento,  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di eventuali disciplinari provvisori annuali, 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nonche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>'  del  possesso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dei requisiti richiesti. </w:t>
      </w:r>
    </w:p>
    <w:p w:rsidR="00421B51" w:rsidRDefault="00572E8E" w:rsidP="00572E8E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  <w:r w:rsidRPr="00572E8E">
        <w:rPr>
          <w:rFonts w:ascii="Arial Narrow" w:hAnsi="Arial Narrow"/>
          <w:bCs/>
          <w:sz w:val="18"/>
          <w:szCs w:val="18"/>
        </w:rPr>
        <w:t xml:space="preserve">    10. I  centri  autorizzati  che  ne  facciano  richiesta  possono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>utilizzare il logo registrato dell'area marina protetta ai fini della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572E8E">
        <w:rPr>
          <w:rFonts w:ascii="Arial Narrow" w:hAnsi="Arial Narrow"/>
          <w:bCs/>
          <w:sz w:val="18"/>
          <w:szCs w:val="18"/>
        </w:rPr>
        <w:t xml:space="preserve">divulgazione </w:t>
      </w:r>
      <w:proofErr w:type="spellStart"/>
      <w:r w:rsidRPr="00572E8E">
        <w:rPr>
          <w:rFonts w:ascii="Arial Narrow" w:hAnsi="Arial Narrow"/>
          <w:bCs/>
          <w:sz w:val="18"/>
          <w:szCs w:val="18"/>
        </w:rPr>
        <w:t>dell'attivita'</w:t>
      </w:r>
      <w:proofErr w:type="spellEnd"/>
      <w:r w:rsidRPr="00572E8E">
        <w:rPr>
          <w:rFonts w:ascii="Arial Narrow" w:hAnsi="Arial Narrow"/>
          <w:bCs/>
          <w:sz w:val="18"/>
          <w:szCs w:val="18"/>
        </w:rPr>
        <w:t xml:space="preserve"> subacquea.</w:t>
      </w:r>
    </w:p>
    <w:p w:rsidR="00E02D44" w:rsidRDefault="00E02D44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</w:p>
    <w:p w:rsidR="00FF295C" w:rsidRPr="00FF295C" w:rsidRDefault="00191048" w:rsidP="00FF295C">
      <w:pPr>
        <w:ind w:left="-42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Nonché </w:t>
      </w:r>
      <w:r w:rsidR="00B21E71">
        <w:rPr>
          <w:sz w:val="19"/>
          <w:szCs w:val="19"/>
        </w:rPr>
        <w:t>de</w:t>
      </w:r>
      <w:r w:rsidR="00FF295C" w:rsidRPr="00FF295C">
        <w:rPr>
          <w:sz w:val="19"/>
          <w:szCs w:val="19"/>
        </w:rPr>
        <w:t xml:space="preserve">l Disciplinare Integrativo al Regolamento di Esecuzione ed Organizzazione </w:t>
      </w:r>
    </w:p>
    <w:p w:rsidR="00191048" w:rsidRDefault="00FF295C" w:rsidP="00FF295C">
      <w:pPr>
        <w:ind w:left="-425"/>
        <w:jc w:val="center"/>
        <w:rPr>
          <w:i/>
          <w:sz w:val="19"/>
          <w:szCs w:val="19"/>
        </w:rPr>
      </w:pPr>
      <w:r>
        <w:rPr>
          <w:sz w:val="19"/>
          <w:szCs w:val="19"/>
        </w:rPr>
        <w:t>(</w:t>
      </w:r>
      <w:r w:rsidRPr="00E92E9C">
        <w:rPr>
          <w:i/>
          <w:sz w:val="19"/>
          <w:szCs w:val="19"/>
        </w:rPr>
        <w:t xml:space="preserve">Approvato definitivamente con Delibera del Consiglio di Amministrazione n.112 del 13 dicembre 2017 e </w:t>
      </w:r>
    </w:p>
    <w:p w:rsidR="00FF295C" w:rsidRDefault="00FF295C" w:rsidP="00FF295C">
      <w:pPr>
        <w:ind w:left="-425"/>
        <w:jc w:val="center"/>
        <w:rPr>
          <w:sz w:val="19"/>
          <w:szCs w:val="19"/>
        </w:rPr>
      </w:pPr>
      <w:r w:rsidRPr="00E92E9C">
        <w:rPr>
          <w:i/>
          <w:sz w:val="19"/>
          <w:szCs w:val="19"/>
        </w:rPr>
        <w:t>nulla-osta Ministero Ambiente e Tutela del Territorio e Mare n.0001147 del 19 gennaio 2018</w:t>
      </w:r>
      <w:r>
        <w:rPr>
          <w:sz w:val="19"/>
          <w:szCs w:val="19"/>
        </w:rPr>
        <w:t>)</w:t>
      </w:r>
    </w:p>
    <w:p w:rsidR="00FF295C" w:rsidRPr="00F871E1" w:rsidRDefault="00FF295C" w:rsidP="00FF295C">
      <w:pPr>
        <w:ind w:left="-425"/>
        <w:jc w:val="center"/>
        <w:rPr>
          <w:rFonts w:ascii="Arial Narrow" w:hAnsi="Arial Narrow"/>
          <w:sz w:val="18"/>
          <w:szCs w:val="18"/>
        </w:rPr>
      </w:pPr>
    </w:p>
    <w:p w:rsidR="00794247" w:rsidRPr="00F871E1" w:rsidRDefault="00794247" w:rsidP="00794247">
      <w:pPr>
        <w:spacing w:after="120"/>
        <w:jc w:val="both"/>
        <w:rPr>
          <w:rFonts w:ascii="Arial Narrow" w:hAnsi="Arial Narrow"/>
          <w:b/>
          <w:sz w:val="18"/>
          <w:szCs w:val="18"/>
        </w:rPr>
      </w:pPr>
      <w:r w:rsidRPr="00F871E1">
        <w:rPr>
          <w:rFonts w:ascii="Arial Narrow" w:hAnsi="Arial Narrow"/>
          <w:b/>
          <w:sz w:val="18"/>
          <w:szCs w:val="18"/>
        </w:rPr>
        <w:t xml:space="preserve">Articolo 8 - Attività di </w:t>
      </w:r>
      <w:proofErr w:type="spellStart"/>
      <w:r w:rsidRPr="00F871E1">
        <w:rPr>
          <w:rFonts w:ascii="Arial Narrow" w:hAnsi="Arial Narrow"/>
          <w:b/>
          <w:i/>
          <w:sz w:val="18"/>
          <w:szCs w:val="18"/>
        </w:rPr>
        <w:t>Seawatching</w:t>
      </w:r>
      <w:proofErr w:type="spellEnd"/>
    </w:p>
    <w:p w:rsidR="00794247" w:rsidRPr="00F871E1" w:rsidRDefault="00794247" w:rsidP="00794247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F871E1">
        <w:rPr>
          <w:rFonts w:ascii="Arial Narrow" w:hAnsi="Arial Narrow"/>
          <w:sz w:val="18"/>
          <w:szCs w:val="18"/>
        </w:rPr>
        <w:t xml:space="preserve">Ad integrazione di quanto previsto all’art. 19 del REO, le attività di </w:t>
      </w:r>
      <w:proofErr w:type="spellStart"/>
      <w:r w:rsidRPr="00F871E1">
        <w:rPr>
          <w:rFonts w:ascii="Arial Narrow" w:hAnsi="Arial Narrow"/>
          <w:i/>
          <w:sz w:val="18"/>
          <w:szCs w:val="18"/>
        </w:rPr>
        <w:t>Seawatching</w:t>
      </w:r>
      <w:proofErr w:type="spellEnd"/>
      <w:r w:rsidRPr="00F871E1">
        <w:rPr>
          <w:rFonts w:ascii="Arial Narrow" w:hAnsi="Arial Narrow"/>
          <w:i/>
          <w:sz w:val="18"/>
          <w:szCs w:val="18"/>
        </w:rPr>
        <w:t xml:space="preserve"> </w:t>
      </w:r>
      <w:r w:rsidRPr="00F871E1">
        <w:rPr>
          <w:rFonts w:ascii="Arial Narrow" w:hAnsi="Arial Narrow"/>
          <w:sz w:val="18"/>
          <w:szCs w:val="18"/>
        </w:rPr>
        <w:t xml:space="preserve">devono essere condotte con le modalità di seguito indicate: </w:t>
      </w:r>
    </w:p>
    <w:p w:rsidR="00794247" w:rsidRPr="00F871E1" w:rsidRDefault="00794247" w:rsidP="00794247">
      <w:pPr>
        <w:numPr>
          <w:ilvl w:val="0"/>
          <w:numId w:val="22"/>
        </w:numPr>
        <w:suppressAutoHyphens/>
        <w:ind w:right="-1"/>
        <w:jc w:val="both"/>
        <w:rPr>
          <w:rFonts w:ascii="Arial Narrow" w:hAnsi="Arial Narrow"/>
          <w:sz w:val="18"/>
          <w:szCs w:val="18"/>
        </w:rPr>
      </w:pPr>
      <w:r w:rsidRPr="00F871E1">
        <w:rPr>
          <w:rFonts w:ascii="Arial Narrow" w:hAnsi="Arial Narrow"/>
          <w:sz w:val="18"/>
          <w:szCs w:val="18"/>
        </w:rPr>
        <w:t>In presenza di almeno una Guida con brevetto da istruttore o Guida subacquea (</w:t>
      </w:r>
      <w:r w:rsidRPr="00F871E1">
        <w:rPr>
          <w:rFonts w:ascii="Arial Narrow" w:hAnsi="Arial Narrow"/>
          <w:i/>
          <w:sz w:val="18"/>
          <w:szCs w:val="18"/>
        </w:rPr>
        <w:t>Dive Master</w:t>
      </w:r>
      <w:r w:rsidRPr="00F871E1">
        <w:rPr>
          <w:rFonts w:ascii="Arial Narrow" w:hAnsi="Arial Narrow"/>
          <w:sz w:val="18"/>
          <w:szCs w:val="18"/>
        </w:rPr>
        <w:t xml:space="preserve"> o brevetto equiparabile rinnovato ed assicurato) e abilitazione di Primo Soccorso;</w:t>
      </w:r>
    </w:p>
    <w:p w:rsidR="00794247" w:rsidRPr="00F871E1" w:rsidRDefault="00794247" w:rsidP="00794247">
      <w:pPr>
        <w:numPr>
          <w:ilvl w:val="0"/>
          <w:numId w:val="22"/>
        </w:numPr>
        <w:suppressAutoHyphens/>
        <w:ind w:right="-1"/>
        <w:jc w:val="both"/>
        <w:rPr>
          <w:rFonts w:ascii="Arial Narrow" w:hAnsi="Arial Narrow"/>
          <w:sz w:val="18"/>
          <w:szCs w:val="18"/>
        </w:rPr>
      </w:pPr>
      <w:r w:rsidRPr="00F871E1">
        <w:rPr>
          <w:rFonts w:ascii="Arial Narrow" w:hAnsi="Arial Narrow"/>
          <w:sz w:val="18"/>
          <w:szCs w:val="18"/>
        </w:rPr>
        <w:t>Garantendo che i minorenni siano accompagnati, o autorizzati dai genitori se di età maggiore di 8 anni;</w:t>
      </w:r>
    </w:p>
    <w:p w:rsidR="00794247" w:rsidRPr="00F871E1" w:rsidRDefault="00794247" w:rsidP="00794247">
      <w:pPr>
        <w:numPr>
          <w:ilvl w:val="0"/>
          <w:numId w:val="22"/>
        </w:numPr>
        <w:suppressAutoHyphens/>
        <w:ind w:right="-1"/>
        <w:jc w:val="both"/>
        <w:rPr>
          <w:rFonts w:ascii="Arial Narrow" w:hAnsi="Arial Narrow"/>
          <w:sz w:val="18"/>
          <w:szCs w:val="18"/>
        </w:rPr>
      </w:pPr>
      <w:r w:rsidRPr="00F871E1">
        <w:rPr>
          <w:rFonts w:ascii="Arial Narrow" w:hAnsi="Arial Narrow"/>
          <w:sz w:val="18"/>
          <w:szCs w:val="18"/>
        </w:rPr>
        <w:t xml:space="preserve">Con l’utilizzo di giubbetti autogonfiabili di emergenza per tutti i partecipanti alle attività di </w:t>
      </w:r>
      <w:proofErr w:type="spellStart"/>
      <w:r w:rsidRPr="00F871E1">
        <w:rPr>
          <w:rFonts w:ascii="Arial Narrow" w:hAnsi="Arial Narrow"/>
          <w:i/>
          <w:sz w:val="18"/>
          <w:szCs w:val="18"/>
        </w:rPr>
        <w:t>Seawatching</w:t>
      </w:r>
      <w:proofErr w:type="spellEnd"/>
      <w:r w:rsidRPr="00F871E1">
        <w:rPr>
          <w:rFonts w:ascii="Arial Narrow" w:hAnsi="Arial Narrow"/>
          <w:sz w:val="18"/>
          <w:szCs w:val="18"/>
        </w:rPr>
        <w:t>.</w:t>
      </w:r>
    </w:p>
    <w:p w:rsidR="00794247" w:rsidRPr="00F871E1" w:rsidRDefault="00794247" w:rsidP="00794247">
      <w:pPr>
        <w:pStyle w:val="Paragrafoelenco"/>
        <w:numPr>
          <w:ilvl w:val="0"/>
          <w:numId w:val="22"/>
        </w:num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F871E1">
        <w:rPr>
          <w:rFonts w:ascii="Arial Narrow" w:hAnsi="Arial Narrow"/>
          <w:color w:val="000000" w:themeColor="text1"/>
          <w:sz w:val="18"/>
          <w:szCs w:val="18"/>
        </w:rPr>
        <w:t xml:space="preserve">Per l’attività di </w:t>
      </w:r>
      <w:proofErr w:type="spellStart"/>
      <w:r w:rsidRPr="00F871E1">
        <w:rPr>
          <w:rFonts w:ascii="Arial Narrow" w:hAnsi="Arial Narrow"/>
          <w:i/>
          <w:color w:val="000000" w:themeColor="text1"/>
          <w:sz w:val="18"/>
          <w:szCs w:val="18"/>
        </w:rPr>
        <w:t>Seawatching</w:t>
      </w:r>
      <w:proofErr w:type="spellEnd"/>
      <w:r w:rsidRPr="00F871E1">
        <w:rPr>
          <w:rFonts w:ascii="Arial Narrow" w:hAnsi="Arial Narrow"/>
          <w:color w:val="000000" w:themeColor="text1"/>
          <w:sz w:val="18"/>
          <w:szCs w:val="18"/>
        </w:rPr>
        <w:t xml:space="preserve"> possono essere rilasciate non più di 10 autorizzazioni annue.</w:t>
      </w:r>
    </w:p>
    <w:p w:rsidR="00794247" w:rsidRPr="00F871E1" w:rsidRDefault="00794247" w:rsidP="00794247">
      <w:pPr>
        <w:pStyle w:val="Paragrafoelenco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F871E1">
        <w:rPr>
          <w:rFonts w:ascii="Arial Narrow" w:hAnsi="Arial Narrow"/>
          <w:sz w:val="18"/>
          <w:szCs w:val="18"/>
        </w:rPr>
        <w:t xml:space="preserve">I siti dove svolgere l’attività di </w:t>
      </w:r>
      <w:proofErr w:type="spellStart"/>
      <w:r w:rsidRPr="00F871E1">
        <w:rPr>
          <w:rFonts w:ascii="Arial Narrow" w:hAnsi="Arial Narrow"/>
          <w:i/>
          <w:sz w:val="18"/>
          <w:szCs w:val="18"/>
        </w:rPr>
        <w:t>Seawatching</w:t>
      </w:r>
      <w:proofErr w:type="spellEnd"/>
      <w:r w:rsidRPr="00F871E1">
        <w:rPr>
          <w:rFonts w:ascii="Arial Narrow" w:hAnsi="Arial Narrow"/>
          <w:sz w:val="18"/>
          <w:szCs w:val="18"/>
        </w:rPr>
        <w:t>, sono descritti di seguito e riportati nella cartografia seguente secondo le coordinate di seguito elencate:</w:t>
      </w:r>
    </w:p>
    <w:p w:rsidR="00794247" w:rsidRPr="00F871E1" w:rsidRDefault="00794247" w:rsidP="00794247">
      <w:pPr>
        <w:pStyle w:val="Paragrafoelenco"/>
        <w:numPr>
          <w:ilvl w:val="0"/>
          <w:numId w:val="23"/>
        </w:numPr>
        <w:spacing w:after="120"/>
        <w:jc w:val="both"/>
        <w:rPr>
          <w:rFonts w:ascii="Arial Narrow" w:hAnsi="Arial Narrow"/>
          <w:sz w:val="18"/>
          <w:szCs w:val="18"/>
        </w:rPr>
      </w:pPr>
      <w:r w:rsidRPr="00F871E1">
        <w:rPr>
          <w:rFonts w:ascii="Arial Narrow" w:hAnsi="Arial Narrow"/>
          <w:sz w:val="18"/>
          <w:szCs w:val="18"/>
        </w:rPr>
        <w:t>In Zona B, da terra sino a 300 metri da riva, denominato “</w:t>
      </w:r>
      <w:r w:rsidRPr="00191048">
        <w:rPr>
          <w:rFonts w:ascii="Arial Narrow" w:hAnsi="Arial Narrow"/>
          <w:b/>
          <w:i/>
          <w:sz w:val="18"/>
          <w:szCs w:val="18"/>
        </w:rPr>
        <w:t>Antico Porto sommerso</w:t>
      </w:r>
      <w:r w:rsidRPr="00F871E1">
        <w:rPr>
          <w:rFonts w:ascii="Arial Narrow" w:hAnsi="Arial Narrow"/>
          <w:sz w:val="18"/>
          <w:szCs w:val="18"/>
        </w:rPr>
        <w:t>”.</w:t>
      </w:r>
    </w:p>
    <w:p w:rsidR="00794247" w:rsidRPr="00F871E1" w:rsidRDefault="00794247" w:rsidP="00794247">
      <w:pPr>
        <w:pStyle w:val="Paragrafoelenco"/>
        <w:numPr>
          <w:ilvl w:val="0"/>
          <w:numId w:val="23"/>
        </w:numPr>
        <w:spacing w:after="120"/>
        <w:jc w:val="both"/>
        <w:rPr>
          <w:rFonts w:ascii="Arial Narrow" w:hAnsi="Arial Narrow"/>
          <w:color w:val="4F6228" w:themeColor="accent3" w:themeShade="80"/>
          <w:sz w:val="18"/>
          <w:szCs w:val="18"/>
        </w:rPr>
      </w:pPr>
      <w:r w:rsidRPr="00F871E1">
        <w:rPr>
          <w:rFonts w:ascii="Arial Narrow" w:hAnsi="Arial Narrow"/>
          <w:sz w:val="18"/>
          <w:szCs w:val="18"/>
        </w:rPr>
        <w:t>In Zona C1, sempre da terra sino a 300 metri da riva,  denominato “</w:t>
      </w:r>
      <w:r w:rsidRPr="00191048">
        <w:rPr>
          <w:rFonts w:ascii="Arial Narrow" w:hAnsi="Arial Narrow"/>
          <w:b/>
          <w:i/>
          <w:sz w:val="18"/>
          <w:szCs w:val="18"/>
        </w:rPr>
        <w:t>Scogli di Bassano</w:t>
      </w:r>
      <w:r w:rsidRPr="00F871E1">
        <w:rPr>
          <w:rFonts w:ascii="Arial Narrow" w:hAnsi="Arial Narrow"/>
          <w:sz w:val="18"/>
          <w:szCs w:val="18"/>
        </w:rPr>
        <w:t>”.</w:t>
      </w:r>
    </w:p>
    <w:p w:rsidR="00794247" w:rsidRDefault="00191048" w:rsidP="00794247">
      <w:pPr>
        <w:spacing w:after="120" w:line="360" w:lineRule="auto"/>
        <w:ind w:left="-142" w:right="-285"/>
        <w:jc w:val="center"/>
        <w:rPr>
          <w:rFonts w:ascii="Arial Narrow" w:hAnsi="Arial Narrow"/>
          <w:strike/>
          <w:color w:val="000000" w:themeColor="text1"/>
          <w:sz w:val="18"/>
          <w:szCs w:val="18"/>
          <w:highlight w:val="yellow"/>
        </w:rPr>
      </w:pPr>
      <w:r w:rsidRPr="00732B05">
        <w:rPr>
          <w:rFonts w:ascii="Arial Narrow" w:hAnsi="Arial Narrow"/>
          <w:strike/>
          <w:noProof/>
          <w:color w:val="000000" w:themeColor="text1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3FABA" wp14:editId="1476A38A">
                <wp:simplePos x="0" y="0"/>
                <wp:positionH relativeFrom="column">
                  <wp:posOffset>3898900</wp:posOffset>
                </wp:positionH>
                <wp:positionV relativeFrom="paragraph">
                  <wp:posOffset>1556224</wp:posOffset>
                </wp:positionV>
                <wp:extent cx="838835" cy="1403985"/>
                <wp:effectExtent l="0" t="0" r="0" b="444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F6" w:rsidRPr="004837F6" w:rsidRDefault="004837F6" w:rsidP="004837F6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37F6">
                              <w:rPr>
                                <w:b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7pt;margin-top:122.55pt;width:66.0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" filled="f" stroked="f">
                <v:textbox style="mso-fit-shape-to-text:t">
                  <w:txbxContent>
                    <w:p w:rsidR="004837F6" w:rsidRPr="004837F6" w:rsidRDefault="004837F6" w:rsidP="004837F6">
                      <w:pPr>
                        <w:rPr>
                          <w:b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37F6">
                        <w:rPr>
                          <w:b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trike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27959" wp14:editId="66C61296">
                <wp:simplePos x="0" y="0"/>
                <wp:positionH relativeFrom="column">
                  <wp:posOffset>4554855</wp:posOffset>
                </wp:positionH>
                <wp:positionV relativeFrom="paragraph">
                  <wp:posOffset>1029335</wp:posOffset>
                </wp:positionV>
                <wp:extent cx="0" cy="1111885"/>
                <wp:effectExtent l="19050" t="0" r="19050" b="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5pt,81.05pt" to="358.6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" strokecolor="red" strokeweight="2.25pt">
                <v:stroke dashstyle="longDashDot"/>
              </v:line>
            </w:pict>
          </mc:Fallback>
        </mc:AlternateContent>
      </w:r>
      <w:r w:rsidR="004837F6" w:rsidRPr="00732B05">
        <w:rPr>
          <w:rFonts w:ascii="Arial Narrow" w:hAnsi="Arial Narrow"/>
          <w:strike/>
          <w:noProof/>
          <w:color w:val="000000" w:themeColor="text1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7352F" wp14:editId="29AFEB79">
                <wp:simplePos x="0" y="0"/>
                <wp:positionH relativeFrom="column">
                  <wp:posOffset>5236049</wp:posOffset>
                </wp:positionH>
                <wp:positionV relativeFrom="paragraph">
                  <wp:posOffset>1101090</wp:posOffset>
                </wp:positionV>
                <wp:extent cx="627380" cy="140398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F6" w:rsidRPr="004837F6" w:rsidRDefault="004837F6" w:rsidP="004837F6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37F6">
                              <w:rPr>
                                <w:b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3pt;margin-top:86.7pt;width:49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" filled="f" stroked="f">
                <v:textbox style="mso-fit-shape-to-text:t">
                  <w:txbxContent>
                    <w:p w:rsidR="004837F6" w:rsidRPr="004837F6" w:rsidRDefault="004837F6" w:rsidP="004837F6">
                      <w:pPr>
                        <w:rPr>
                          <w:b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37F6">
                        <w:rPr>
                          <w:b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SUD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37F6" w:rsidRPr="00732B05">
        <w:rPr>
          <w:rFonts w:ascii="Arial Narrow" w:hAnsi="Arial Narrow"/>
          <w:strike/>
          <w:noProof/>
          <w:color w:val="000000" w:themeColor="text1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9388E" wp14:editId="7A2B7C62">
                <wp:simplePos x="0" y="0"/>
                <wp:positionH relativeFrom="column">
                  <wp:posOffset>933450</wp:posOffset>
                </wp:positionH>
                <wp:positionV relativeFrom="paragraph">
                  <wp:posOffset>1849755</wp:posOffset>
                </wp:positionV>
                <wp:extent cx="838835" cy="140398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05" w:rsidRPr="004837F6" w:rsidRDefault="00732B05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37F6">
                              <w:rPr>
                                <w:b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3.5pt;margin-top:145.65pt;width:66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" filled="f" stroked="f">
                <v:textbox style="mso-fit-shape-to-text:t">
                  <w:txbxContent>
                    <w:p w:rsidR="00732B05" w:rsidRPr="004837F6" w:rsidRDefault="00732B05">
                      <w:pPr>
                        <w:rPr>
                          <w:b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37F6">
                        <w:rPr>
                          <w:b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NORD</w:t>
                      </w:r>
                    </w:p>
                  </w:txbxContent>
                </v:textbox>
              </v:shape>
            </w:pict>
          </mc:Fallback>
        </mc:AlternateContent>
      </w:r>
      <w:r w:rsidR="00732B05" w:rsidRPr="00732B05">
        <w:rPr>
          <w:rFonts w:ascii="Arial Narrow" w:hAnsi="Arial Narrow"/>
          <w:strike/>
          <w:noProof/>
          <w:color w:val="000000" w:themeColor="text1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FA732" wp14:editId="17CE2313">
                <wp:simplePos x="0" y="0"/>
                <wp:positionH relativeFrom="column">
                  <wp:posOffset>2557780</wp:posOffset>
                </wp:positionH>
                <wp:positionV relativeFrom="paragraph">
                  <wp:posOffset>1297305</wp:posOffset>
                </wp:positionV>
                <wp:extent cx="627380" cy="1403985"/>
                <wp:effectExtent l="0" t="0" r="0" b="127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05" w:rsidRPr="004837F6" w:rsidRDefault="00732B05" w:rsidP="00732B05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37F6">
                              <w:rPr>
                                <w:b/>
                                <w:color w:val="FF000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1.4pt;margin-top:102.15pt;width:49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" filled="f" stroked="f">
                <v:textbox style="mso-fit-shape-to-text:t">
                  <w:txbxContent>
                    <w:p w:rsidR="00732B05" w:rsidRPr="004837F6" w:rsidRDefault="00732B05" w:rsidP="00732B05">
                      <w:pPr>
                        <w:rPr>
                          <w:b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37F6">
                        <w:rPr>
                          <w:b/>
                          <w:color w:val="FF0000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SUD</w:t>
                      </w:r>
                    </w:p>
                  </w:txbxContent>
                </v:textbox>
              </v:shape>
            </w:pict>
          </mc:Fallback>
        </mc:AlternateContent>
      </w:r>
      <w:r w:rsidR="00732B05">
        <w:rPr>
          <w:rFonts w:ascii="Arial Narrow" w:hAnsi="Arial Narrow"/>
          <w:strike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3C5E3" wp14:editId="68CB78AB">
                <wp:simplePos x="0" y="0"/>
                <wp:positionH relativeFrom="column">
                  <wp:posOffset>2032379</wp:posOffset>
                </wp:positionH>
                <wp:positionV relativeFrom="paragraph">
                  <wp:posOffset>1174513</wp:posOffset>
                </wp:positionV>
                <wp:extent cx="0" cy="1111970"/>
                <wp:effectExtent l="19050" t="0" r="19050" b="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9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92.5pt" to="160.0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" strokecolor="red" strokeweight="2.25pt">
                <v:stroke dashstyle="longDashDot"/>
              </v:line>
            </w:pict>
          </mc:Fallback>
        </mc:AlternateContent>
      </w:r>
      <w:r w:rsidR="00794247" w:rsidRPr="00F871E1">
        <w:rPr>
          <w:rFonts w:ascii="Arial Narrow" w:hAnsi="Arial Narrow"/>
          <w:strike/>
          <w:noProof/>
          <w:color w:val="000000" w:themeColor="text1"/>
          <w:sz w:val="18"/>
          <w:szCs w:val="18"/>
        </w:rPr>
        <w:drawing>
          <wp:inline distT="0" distB="0" distL="0" distR="0" wp14:anchorId="41298678" wp14:editId="71187E09">
            <wp:extent cx="6233823" cy="3140196"/>
            <wp:effectExtent l="0" t="0" r="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 Visite Seawatching Doppia DE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707" cy="31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B05" w:rsidRDefault="00732B05" w:rsidP="00794247">
      <w:pPr>
        <w:spacing w:after="120" w:line="360" w:lineRule="auto"/>
        <w:ind w:left="-142" w:right="-285"/>
        <w:jc w:val="center"/>
        <w:rPr>
          <w:rFonts w:ascii="Arial Narrow" w:hAnsi="Arial Narrow"/>
          <w:strike/>
          <w:color w:val="000000" w:themeColor="text1"/>
          <w:sz w:val="18"/>
          <w:szCs w:val="18"/>
          <w:highlight w:val="yellow"/>
        </w:rPr>
      </w:pPr>
    </w:p>
    <w:p w:rsidR="00732B05" w:rsidRPr="00F871E1" w:rsidRDefault="00732B05" w:rsidP="00794247">
      <w:pPr>
        <w:spacing w:after="120" w:line="360" w:lineRule="auto"/>
        <w:ind w:left="-142" w:right="-285"/>
        <w:jc w:val="center"/>
        <w:rPr>
          <w:rFonts w:ascii="Arial Narrow" w:hAnsi="Arial Narrow"/>
          <w:strike/>
          <w:color w:val="000000" w:themeColor="text1"/>
          <w:sz w:val="18"/>
          <w:szCs w:val="18"/>
          <w:highlight w:val="yellow"/>
        </w:rPr>
      </w:pPr>
    </w:p>
    <w:p w:rsidR="00794247" w:rsidRPr="00F871E1" w:rsidRDefault="003A0818" w:rsidP="003A0818">
      <w:pPr>
        <w:pStyle w:val="Paragrafoelenco"/>
        <w:jc w:val="center"/>
        <w:rPr>
          <w:rFonts w:ascii="Arial Narrow" w:hAnsi="Arial Narrow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2E9A43E" wp14:editId="184EB020">
            <wp:extent cx="3384645" cy="1745610"/>
            <wp:effectExtent l="0" t="0" r="6350" b="762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3645" cy="174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47" w:rsidRPr="00F871E1" w:rsidRDefault="00794247" w:rsidP="00794247">
      <w:pPr>
        <w:pStyle w:val="Paragrafoelenco"/>
        <w:numPr>
          <w:ilvl w:val="0"/>
          <w:numId w:val="22"/>
        </w:numPr>
        <w:jc w:val="both"/>
        <w:rPr>
          <w:rFonts w:ascii="Arial Narrow" w:hAnsi="Arial Narrow"/>
          <w:sz w:val="18"/>
          <w:szCs w:val="18"/>
        </w:rPr>
      </w:pPr>
      <w:r w:rsidRPr="00F871E1">
        <w:rPr>
          <w:rFonts w:ascii="Arial Narrow" w:hAnsi="Arial Narrow"/>
          <w:sz w:val="18"/>
          <w:szCs w:val="18"/>
        </w:rPr>
        <w:t xml:space="preserve">Il numero massimo di visitatori per l’attività di </w:t>
      </w:r>
      <w:proofErr w:type="spellStart"/>
      <w:r w:rsidRPr="00F871E1">
        <w:rPr>
          <w:rFonts w:ascii="Arial Narrow" w:hAnsi="Arial Narrow"/>
          <w:i/>
          <w:sz w:val="18"/>
          <w:szCs w:val="18"/>
        </w:rPr>
        <w:t>seawatching</w:t>
      </w:r>
      <w:proofErr w:type="spellEnd"/>
      <w:r w:rsidRPr="00F871E1">
        <w:rPr>
          <w:rFonts w:ascii="Arial Narrow" w:hAnsi="Arial Narrow"/>
          <w:sz w:val="18"/>
          <w:szCs w:val="18"/>
        </w:rPr>
        <w:t xml:space="preserve">, che possono accedere complessivamente nei siti sopra individuati, è di 72 visitatori al giorno.  </w:t>
      </w:r>
      <w:bookmarkStart w:id="0" w:name="_GoBack"/>
      <w:bookmarkEnd w:id="0"/>
    </w:p>
    <w:p w:rsidR="005A67AD" w:rsidRDefault="005A67AD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</w:p>
    <w:p w:rsidR="00E02D44" w:rsidRDefault="005E32AE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corrispettivo previsto dall’art.16 del Disciplinare è il seguente</w:t>
      </w:r>
      <w:r w:rsidR="00732B05">
        <w:rPr>
          <w:bCs/>
          <w:sz w:val="22"/>
          <w:szCs w:val="22"/>
        </w:rPr>
        <w:t>, diviso per siti e periodi</w:t>
      </w:r>
      <w:r>
        <w:rPr>
          <w:bCs/>
          <w:sz w:val="22"/>
          <w:szCs w:val="22"/>
        </w:rPr>
        <w:t>:</w:t>
      </w:r>
    </w:p>
    <w:p w:rsidR="003A0311" w:rsidRPr="005E32AE" w:rsidRDefault="003A0311" w:rsidP="00277071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</w:p>
    <w:tbl>
      <w:tblPr>
        <w:tblW w:w="7950" w:type="dxa"/>
        <w:jc w:val="center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1"/>
        <w:gridCol w:w="1275"/>
        <w:gridCol w:w="1134"/>
        <w:gridCol w:w="1210"/>
      </w:tblGrid>
      <w:tr w:rsidR="00F871E1" w:rsidTr="00F871E1">
        <w:trPr>
          <w:trHeight w:val="227"/>
          <w:jc w:val="center"/>
        </w:trPr>
        <w:tc>
          <w:tcPr>
            <w:tcW w:w="4331" w:type="dxa"/>
            <w:shd w:val="solid" w:color="FFFFFF" w:fill="auto"/>
          </w:tcPr>
          <w:p w:rsidR="00F871E1" w:rsidRPr="0013682F" w:rsidRDefault="00732B05" w:rsidP="005E32AE">
            <w:pPr>
              <w:autoSpaceDE w:val="0"/>
              <w:autoSpaceDN w:val="0"/>
              <w:adjustRightInd w:val="0"/>
              <w:ind w:left="128"/>
              <w:jc w:val="center"/>
              <w:rPr>
                <w:rFonts w:ascii="Arial Narrow" w:eastAsia="Calibri" w:hAnsi="Arial Narrow" w:cs="Arial Narrow"/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17365D" w:themeColor="text2" w:themeShade="BF"/>
                <w:sz w:val="22"/>
                <w:szCs w:val="22"/>
              </w:rPr>
              <w:t>Siti per il SEAWATCHING</w:t>
            </w:r>
          </w:p>
        </w:tc>
        <w:tc>
          <w:tcPr>
            <w:tcW w:w="1275" w:type="dxa"/>
            <w:shd w:val="solid" w:color="FFFFFF" w:fill="auto"/>
          </w:tcPr>
          <w:p w:rsidR="00F871E1" w:rsidRPr="0013682F" w:rsidRDefault="00F871E1" w:rsidP="00140EC5">
            <w:pPr>
              <w:pStyle w:val="Paragrafoelenco"/>
              <w:ind w:hanging="608"/>
              <w:jc w:val="center"/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  <w:t>Settimanale</w:t>
            </w:r>
          </w:p>
        </w:tc>
        <w:tc>
          <w:tcPr>
            <w:tcW w:w="1134" w:type="dxa"/>
            <w:shd w:val="solid" w:color="FFFFFF" w:fill="auto"/>
          </w:tcPr>
          <w:p w:rsidR="00F871E1" w:rsidRPr="0013682F" w:rsidRDefault="00F871E1" w:rsidP="00140EC5">
            <w:pPr>
              <w:pStyle w:val="Paragrafoelenco"/>
              <w:ind w:hanging="608"/>
              <w:jc w:val="center"/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</w:pPr>
            <w:r w:rsidRPr="0013682F"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  <w:t>Mensile</w:t>
            </w:r>
          </w:p>
        </w:tc>
        <w:tc>
          <w:tcPr>
            <w:tcW w:w="1210" w:type="dxa"/>
            <w:shd w:val="solid" w:color="FFFFFF" w:fill="auto"/>
          </w:tcPr>
          <w:p w:rsidR="00F871E1" w:rsidRPr="0013682F" w:rsidRDefault="00F871E1" w:rsidP="00140EC5">
            <w:pPr>
              <w:pStyle w:val="Paragrafoelenco"/>
              <w:ind w:hanging="608"/>
              <w:jc w:val="center"/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</w:pPr>
            <w:r w:rsidRPr="0013682F">
              <w:rPr>
                <w:rFonts w:ascii="Arial Narrow" w:eastAsia="Calibri" w:hAnsi="Arial Narrow" w:cs="Arial Narrow"/>
                <w:b/>
                <w:color w:val="17365D" w:themeColor="text2" w:themeShade="BF"/>
                <w:sz w:val="22"/>
                <w:szCs w:val="22"/>
              </w:rPr>
              <w:t>Annuale</w:t>
            </w:r>
          </w:p>
        </w:tc>
      </w:tr>
      <w:tr w:rsidR="00F871E1" w:rsidRPr="0013682F" w:rsidTr="00884162">
        <w:trPr>
          <w:trHeight w:val="397"/>
          <w:jc w:val="center"/>
        </w:trPr>
        <w:tc>
          <w:tcPr>
            <w:tcW w:w="4331" w:type="dxa"/>
            <w:vAlign w:val="center"/>
          </w:tcPr>
          <w:p w:rsidR="00F871E1" w:rsidRPr="00711E08" w:rsidRDefault="00732B05" w:rsidP="00F871E1">
            <w:pPr>
              <w:autoSpaceDE w:val="0"/>
              <w:autoSpaceDN w:val="0"/>
              <w:adjustRightInd w:val="0"/>
              <w:ind w:left="128"/>
              <w:jc w:val="center"/>
              <w:rPr>
                <w:rFonts w:ascii="Arial Narrow" w:eastAsia="Calibri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Zona B “</w:t>
            </w:r>
            <w:r w:rsidRPr="00191048">
              <w:rPr>
                <w:rFonts w:ascii="Arial Narrow" w:eastAsia="Calibri" w:hAnsi="Arial Narrow" w:cs="Arial Narrow"/>
                <w:bCs/>
                <w:i/>
                <w:sz w:val="20"/>
                <w:szCs w:val="20"/>
              </w:rPr>
              <w:t>Antico Porto</w:t>
            </w: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F871E1" w:rsidRPr="00711E08" w:rsidRDefault="00F871E1" w:rsidP="00E158C8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10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F871E1" w:rsidRPr="00711E08" w:rsidRDefault="00F871E1" w:rsidP="00B21E7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20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210" w:type="dxa"/>
            <w:vAlign w:val="center"/>
          </w:tcPr>
          <w:p w:rsidR="00F871E1" w:rsidRPr="00711E08" w:rsidRDefault="00F871E1" w:rsidP="00B21E7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50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</w:tr>
      <w:tr w:rsidR="00732B05" w:rsidRPr="0013682F" w:rsidTr="00884162">
        <w:trPr>
          <w:trHeight w:val="397"/>
          <w:jc w:val="center"/>
        </w:trPr>
        <w:tc>
          <w:tcPr>
            <w:tcW w:w="4331" w:type="dxa"/>
            <w:vAlign w:val="center"/>
          </w:tcPr>
          <w:p w:rsidR="00732B05" w:rsidRDefault="00732B05" w:rsidP="00F871E1">
            <w:pPr>
              <w:autoSpaceDE w:val="0"/>
              <w:autoSpaceDN w:val="0"/>
              <w:adjustRightInd w:val="0"/>
              <w:ind w:left="128"/>
              <w:jc w:val="center"/>
              <w:rPr>
                <w:rFonts w:ascii="Arial Narrow" w:eastAsia="Calibri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“</w:t>
            </w:r>
            <w:r w:rsidRPr="00191048">
              <w:rPr>
                <w:rFonts w:ascii="Arial Narrow" w:eastAsia="Calibri" w:hAnsi="Arial Narrow" w:cs="Arial Narrow"/>
                <w:bCs/>
                <w:i/>
                <w:sz w:val="20"/>
                <w:szCs w:val="20"/>
              </w:rPr>
              <w:t>Antico Porto</w:t>
            </w: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” NORD</w:t>
            </w:r>
            <w:r w:rsidR="00191048">
              <w:rPr>
                <w:rFonts w:ascii="Arial Narrow" w:eastAsia="Calibri" w:hAnsi="Arial Narrow" w:cs="Arial Narrow"/>
                <w:bCs/>
                <w:sz w:val="20"/>
                <w:szCs w:val="20"/>
              </w:rPr>
              <w:t xml:space="preserve"> </w:t>
            </w:r>
            <w:r w:rsidR="00191048" w:rsidRP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>(a nord di Torre Cerrano)</w:t>
            </w:r>
          </w:p>
        </w:tc>
        <w:tc>
          <w:tcPr>
            <w:tcW w:w="1275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10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20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210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50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</w:tr>
      <w:tr w:rsidR="00732B05" w:rsidRPr="0013682F" w:rsidTr="00884162">
        <w:trPr>
          <w:trHeight w:val="397"/>
          <w:jc w:val="center"/>
        </w:trPr>
        <w:tc>
          <w:tcPr>
            <w:tcW w:w="4331" w:type="dxa"/>
            <w:vAlign w:val="center"/>
          </w:tcPr>
          <w:p w:rsidR="00732B05" w:rsidRDefault="00732B05" w:rsidP="00191048">
            <w:pPr>
              <w:autoSpaceDE w:val="0"/>
              <w:autoSpaceDN w:val="0"/>
              <w:adjustRightInd w:val="0"/>
              <w:ind w:left="128"/>
              <w:jc w:val="center"/>
              <w:rPr>
                <w:rFonts w:ascii="Arial Narrow" w:eastAsia="Calibri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“</w:t>
            </w:r>
            <w:r w:rsidRPr="00191048">
              <w:rPr>
                <w:rFonts w:ascii="Arial Narrow" w:eastAsia="Calibri" w:hAnsi="Arial Narrow" w:cs="Arial Narrow"/>
                <w:bCs/>
                <w:i/>
                <w:sz w:val="20"/>
                <w:szCs w:val="20"/>
              </w:rPr>
              <w:t>Antico Porto</w:t>
            </w: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” SUD</w:t>
            </w:r>
            <w:r w:rsidR="00191048">
              <w:rPr>
                <w:rFonts w:ascii="Arial Narrow" w:eastAsia="Calibri" w:hAnsi="Arial Narrow" w:cs="Arial Narrow"/>
                <w:bCs/>
                <w:sz w:val="20"/>
                <w:szCs w:val="20"/>
              </w:rPr>
              <w:t xml:space="preserve"> </w:t>
            </w:r>
            <w:r w:rsidR="00191048" w:rsidRP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 xml:space="preserve">(a </w:t>
            </w:r>
            <w:r w:rsid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>sud</w:t>
            </w:r>
            <w:r w:rsidR="00191048" w:rsidRP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 xml:space="preserve"> di Torre Cerrano)</w:t>
            </w:r>
          </w:p>
        </w:tc>
        <w:tc>
          <w:tcPr>
            <w:tcW w:w="1275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10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20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210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50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</w:tr>
      <w:tr w:rsidR="00732B05" w:rsidRPr="0013682F" w:rsidTr="00884162">
        <w:trPr>
          <w:trHeight w:val="397"/>
          <w:jc w:val="center"/>
        </w:trPr>
        <w:tc>
          <w:tcPr>
            <w:tcW w:w="4331" w:type="dxa"/>
            <w:vAlign w:val="center"/>
          </w:tcPr>
          <w:p w:rsidR="00732B05" w:rsidRDefault="00732B05" w:rsidP="00732B05">
            <w:pPr>
              <w:autoSpaceDE w:val="0"/>
              <w:autoSpaceDN w:val="0"/>
              <w:adjustRightInd w:val="0"/>
              <w:ind w:left="128"/>
              <w:jc w:val="center"/>
              <w:rPr>
                <w:rFonts w:ascii="Arial Narrow" w:eastAsia="Calibri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Zona C1 “</w:t>
            </w:r>
            <w:r w:rsidRPr="00191048">
              <w:rPr>
                <w:rFonts w:ascii="Arial Narrow" w:eastAsia="Calibri" w:hAnsi="Arial Narrow" w:cs="Arial Narrow"/>
                <w:bCs/>
                <w:i/>
                <w:sz w:val="20"/>
                <w:szCs w:val="20"/>
              </w:rPr>
              <w:t>Scogli Bassano</w:t>
            </w: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10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20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210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50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</w:tr>
      <w:tr w:rsidR="00732B05" w:rsidRPr="0013682F" w:rsidTr="00884162">
        <w:trPr>
          <w:trHeight w:val="397"/>
          <w:jc w:val="center"/>
        </w:trPr>
        <w:tc>
          <w:tcPr>
            <w:tcW w:w="4331" w:type="dxa"/>
            <w:vAlign w:val="center"/>
          </w:tcPr>
          <w:p w:rsidR="00732B05" w:rsidRDefault="00732B05" w:rsidP="00191048">
            <w:pPr>
              <w:autoSpaceDE w:val="0"/>
              <w:autoSpaceDN w:val="0"/>
              <w:adjustRightInd w:val="0"/>
              <w:ind w:left="128"/>
              <w:jc w:val="center"/>
              <w:rPr>
                <w:rFonts w:ascii="Arial Narrow" w:eastAsia="Calibri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“</w:t>
            </w:r>
            <w:r w:rsidRPr="00191048">
              <w:rPr>
                <w:rFonts w:ascii="Arial Narrow" w:eastAsia="Calibri" w:hAnsi="Arial Narrow" w:cs="Arial Narrow"/>
                <w:bCs/>
                <w:i/>
                <w:sz w:val="20"/>
                <w:szCs w:val="20"/>
              </w:rPr>
              <w:t>Scogli Bassano</w:t>
            </w: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” NORD</w:t>
            </w:r>
            <w:r w:rsidR="00191048">
              <w:rPr>
                <w:rFonts w:ascii="Arial Narrow" w:eastAsia="Calibri" w:hAnsi="Arial Narrow" w:cs="Arial Narrow"/>
                <w:bCs/>
                <w:sz w:val="20"/>
                <w:szCs w:val="20"/>
              </w:rPr>
              <w:t xml:space="preserve"> </w:t>
            </w:r>
            <w:r w:rsidR="00191048" w:rsidRP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>(a nord d</w:t>
            </w:r>
            <w:r w:rsid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>el confine comunale</w:t>
            </w:r>
            <w:r w:rsidR="00191048" w:rsidRP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10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20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210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50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</w:tr>
      <w:tr w:rsidR="00732B05" w:rsidRPr="0013682F" w:rsidTr="00884162">
        <w:trPr>
          <w:trHeight w:val="397"/>
          <w:jc w:val="center"/>
        </w:trPr>
        <w:tc>
          <w:tcPr>
            <w:tcW w:w="4331" w:type="dxa"/>
            <w:vAlign w:val="center"/>
          </w:tcPr>
          <w:p w:rsidR="00732B05" w:rsidRDefault="00732B05" w:rsidP="00191048">
            <w:pPr>
              <w:autoSpaceDE w:val="0"/>
              <w:autoSpaceDN w:val="0"/>
              <w:adjustRightInd w:val="0"/>
              <w:ind w:left="128"/>
              <w:jc w:val="center"/>
              <w:rPr>
                <w:rFonts w:ascii="Arial Narrow" w:eastAsia="Calibri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“</w:t>
            </w:r>
            <w:r w:rsidRPr="00191048">
              <w:rPr>
                <w:rFonts w:ascii="Arial Narrow" w:eastAsia="Calibri" w:hAnsi="Arial Narrow" w:cs="Arial Narrow"/>
                <w:bCs/>
                <w:i/>
                <w:sz w:val="20"/>
                <w:szCs w:val="20"/>
              </w:rPr>
              <w:t>Scogli Bassano</w:t>
            </w:r>
            <w:r>
              <w:rPr>
                <w:rFonts w:ascii="Arial Narrow" w:eastAsia="Calibri" w:hAnsi="Arial Narrow" w:cs="Arial Narrow"/>
                <w:bCs/>
                <w:sz w:val="20"/>
                <w:szCs w:val="20"/>
              </w:rPr>
              <w:t>” SUD</w:t>
            </w:r>
            <w:r w:rsidR="00191048">
              <w:rPr>
                <w:rFonts w:ascii="Arial Narrow" w:eastAsia="Calibri" w:hAnsi="Arial Narrow" w:cs="Arial Narrow"/>
                <w:bCs/>
                <w:sz w:val="20"/>
                <w:szCs w:val="20"/>
              </w:rPr>
              <w:t xml:space="preserve"> </w:t>
            </w:r>
            <w:r w:rsidR="00191048" w:rsidRP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 xml:space="preserve">(a </w:t>
            </w:r>
            <w:r w:rsid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>sud</w:t>
            </w:r>
            <w:r w:rsidR="00191048" w:rsidRP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 xml:space="preserve"> d</w:t>
            </w:r>
            <w:r w:rsid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>el confine comunale</w:t>
            </w:r>
            <w:r w:rsidR="00191048" w:rsidRPr="00191048">
              <w:rPr>
                <w:rFonts w:ascii="Arial Narrow" w:eastAsia="Calibri" w:hAnsi="Arial Narrow" w:cs="Arial Narrow"/>
                <w:bCs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10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20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  <w:tc>
          <w:tcPr>
            <w:tcW w:w="1210" w:type="dxa"/>
            <w:vAlign w:val="center"/>
          </w:tcPr>
          <w:p w:rsidR="00732B05" w:rsidRPr="00711E08" w:rsidRDefault="00732B05" w:rsidP="00D20BC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4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 xml:space="preserve">€ </w:t>
            </w:r>
            <w:r>
              <w:rPr>
                <w:rFonts w:ascii="Arial Narrow" w:eastAsia="Calibri" w:hAnsi="Arial Narrow" w:cs="Arial Narrow"/>
                <w:sz w:val="22"/>
                <w:szCs w:val="22"/>
              </w:rPr>
              <w:t>50</w:t>
            </w:r>
            <w:r w:rsidRPr="00711E08">
              <w:rPr>
                <w:rFonts w:ascii="Arial Narrow" w:eastAsia="Calibri" w:hAnsi="Arial Narrow" w:cs="Arial Narrow"/>
                <w:sz w:val="22"/>
                <w:szCs w:val="22"/>
              </w:rPr>
              <w:t>,00</w:t>
            </w:r>
          </w:p>
        </w:tc>
      </w:tr>
    </w:tbl>
    <w:p w:rsidR="00B64FFA" w:rsidRPr="00B64FFA" w:rsidRDefault="00B64FFA" w:rsidP="00277071">
      <w:pPr>
        <w:tabs>
          <w:tab w:val="left" w:pos="567"/>
        </w:tabs>
        <w:ind w:right="-1"/>
        <w:jc w:val="both"/>
        <w:rPr>
          <w:rFonts w:ascii="Arial Narrow" w:eastAsia="Calibri" w:hAnsi="Arial Narrow" w:cs="Arial Narrow"/>
          <w:b/>
          <w:bCs/>
          <w:i/>
          <w:color w:val="244061" w:themeColor="accent1" w:themeShade="80"/>
          <w:sz w:val="6"/>
          <w:szCs w:val="6"/>
        </w:rPr>
      </w:pPr>
    </w:p>
    <w:p w:rsidR="009F3F9F" w:rsidRPr="00B21E71" w:rsidRDefault="00B21E71" w:rsidP="00B21E71">
      <w:pPr>
        <w:tabs>
          <w:tab w:val="left" w:pos="567"/>
        </w:tabs>
        <w:spacing w:line="276" w:lineRule="auto"/>
        <w:ind w:right="-1"/>
        <w:jc w:val="center"/>
        <w:rPr>
          <w:rFonts w:ascii="Arial Narrow" w:hAnsi="Arial Narrow"/>
          <w:bCs/>
          <w:sz w:val="16"/>
          <w:szCs w:val="16"/>
        </w:rPr>
      </w:pPr>
      <w:r w:rsidRPr="00B21E71">
        <w:rPr>
          <w:rFonts w:ascii="Arial Narrow" w:hAnsi="Arial Narrow"/>
          <w:bCs/>
          <w:sz w:val="16"/>
          <w:szCs w:val="16"/>
        </w:rPr>
        <w:t>(</w:t>
      </w:r>
      <w:r w:rsidRPr="00B21E71">
        <w:rPr>
          <w:rFonts w:ascii="Arial Narrow" w:hAnsi="Arial Narrow"/>
          <w:bCs/>
          <w:i/>
          <w:sz w:val="16"/>
          <w:szCs w:val="16"/>
        </w:rPr>
        <w:t>Barrare la casella corrispondente all’attività di cui si richiede autorizzazione. Nella casella è riportato anche il corrispondente corrispettivo da versare</w:t>
      </w:r>
      <w:r w:rsidRPr="00B21E71">
        <w:rPr>
          <w:rFonts w:ascii="Arial Narrow" w:hAnsi="Arial Narrow"/>
          <w:bCs/>
          <w:sz w:val="16"/>
          <w:szCs w:val="16"/>
        </w:rPr>
        <w:t>)</w:t>
      </w:r>
    </w:p>
    <w:p w:rsidR="00B21E71" w:rsidRDefault="00B21E71" w:rsidP="00F64364">
      <w:pPr>
        <w:tabs>
          <w:tab w:val="left" w:pos="567"/>
        </w:tabs>
        <w:spacing w:line="276" w:lineRule="auto"/>
        <w:ind w:right="-1"/>
        <w:jc w:val="both"/>
        <w:rPr>
          <w:bCs/>
          <w:sz w:val="16"/>
          <w:szCs w:val="16"/>
        </w:rPr>
      </w:pPr>
    </w:p>
    <w:p w:rsidR="00B64FFA" w:rsidRDefault="009F3F9F" w:rsidP="00F64364">
      <w:pPr>
        <w:tabs>
          <w:tab w:val="left" w:pos="567"/>
        </w:tabs>
        <w:spacing w:line="276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Il </w:t>
      </w:r>
      <w:r w:rsidR="005A67AD">
        <w:rPr>
          <w:bCs/>
          <w:sz w:val="20"/>
          <w:szCs w:val="20"/>
        </w:rPr>
        <w:t xml:space="preserve">totale del </w:t>
      </w:r>
      <w:r>
        <w:rPr>
          <w:bCs/>
          <w:sz w:val="20"/>
          <w:szCs w:val="20"/>
        </w:rPr>
        <w:t>corrispettivo, di cui alla tabella precedente</w:t>
      </w:r>
      <w:r w:rsidR="00B64FFA">
        <w:rPr>
          <w:bCs/>
          <w:sz w:val="20"/>
          <w:szCs w:val="20"/>
        </w:rPr>
        <w:t>, pari a Euro ..………………</w:t>
      </w:r>
      <w:r w:rsidR="00191048">
        <w:rPr>
          <w:bCs/>
          <w:sz w:val="20"/>
          <w:szCs w:val="20"/>
        </w:rPr>
        <w:t>..</w:t>
      </w:r>
      <w:r w:rsidR="00B64FFA">
        <w:rPr>
          <w:bCs/>
          <w:sz w:val="20"/>
          <w:szCs w:val="20"/>
        </w:rPr>
        <w:t>…………… è stato versato</w:t>
      </w:r>
      <w:r w:rsidR="00711E08" w:rsidRPr="00711E08">
        <w:rPr>
          <w:b/>
          <w:sz w:val="20"/>
          <w:szCs w:val="20"/>
        </w:rPr>
        <w:t xml:space="preserve"> </w:t>
      </w:r>
      <w:r w:rsidR="00711E08" w:rsidRPr="00711E08">
        <w:rPr>
          <w:sz w:val="20"/>
          <w:szCs w:val="20"/>
        </w:rPr>
        <w:t>al soggetto gestore</w:t>
      </w:r>
      <w:r w:rsidR="00711E08">
        <w:rPr>
          <w:bCs/>
          <w:sz w:val="20"/>
          <w:szCs w:val="20"/>
        </w:rPr>
        <w:t>,</w:t>
      </w:r>
      <w:r w:rsidR="00B64FFA">
        <w:rPr>
          <w:bCs/>
          <w:sz w:val="20"/>
          <w:szCs w:val="20"/>
        </w:rPr>
        <w:t xml:space="preserve"> come da ricevuta allegata</w:t>
      </w:r>
      <w:r w:rsidR="00711E08">
        <w:rPr>
          <w:bCs/>
          <w:sz w:val="20"/>
          <w:szCs w:val="20"/>
        </w:rPr>
        <w:t>,</w:t>
      </w:r>
      <w:r w:rsidR="00B64FFA" w:rsidRPr="00B64FFA">
        <w:rPr>
          <w:b/>
          <w:sz w:val="20"/>
          <w:szCs w:val="20"/>
        </w:rPr>
        <w:t xml:space="preserve"> </w:t>
      </w:r>
      <w:r w:rsidR="003A0818">
        <w:rPr>
          <w:sz w:val="20"/>
          <w:szCs w:val="20"/>
        </w:rPr>
        <w:t xml:space="preserve">a titolo di diritto di segreteria e rimborso spese. Il versamento è stato effettuato, tramite il sistema </w:t>
      </w:r>
      <w:proofErr w:type="spellStart"/>
      <w:r w:rsidR="003A0818">
        <w:rPr>
          <w:b/>
          <w:sz w:val="20"/>
          <w:szCs w:val="20"/>
        </w:rPr>
        <w:t>PagoPA</w:t>
      </w:r>
      <w:proofErr w:type="spellEnd"/>
      <w:r w:rsidR="003A0818">
        <w:rPr>
          <w:sz w:val="20"/>
          <w:szCs w:val="20"/>
        </w:rPr>
        <w:t xml:space="preserve"> del Consorzio disponibile all’indirizzo </w:t>
      </w:r>
      <w:hyperlink r:id="rId13" w:history="1">
        <w:r w:rsidR="003A0818">
          <w:rPr>
            <w:rStyle w:val="Collegamentoipertestuale"/>
            <w:sz w:val="20"/>
            <w:szCs w:val="20"/>
          </w:rPr>
          <w:t>www.torredelcerrano.it</w:t>
        </w:r>
      </w:hyperlink>
      <w:r w:rsidR="003A0818">
        <w:rPr>
          <w:sz w:val="20"/>
          <w:szCs w:val="20"/>
        </w:rPr>
        <w:t>,</w:t>
      </w:r>
      <w:r w:rsidR="00B64FFA" w:rsidRPr="00444765">
        <w:rPr>
          <w:sz w:val="20"/>
          <w:szCs w:val="20"/>
        </w:rPr>
        <w:t xml:space="preserve"> specificando nell’oggetto “</w:t>
      </w:r>
      <w:r w:rsidR="00B64FFA" w:rsidRPr="00444765">
        <w:rPr>
          <w:i/>
          <w:sz w:val="20"/>
          <w:szCs w:val="20"/>
        </w:rPr>
        <w:t xml:space="preserve">Corrispettivi per </w:t>
      </w:r>
      <w:r>
        <w:rPr>
          <w:i/>
          <w:sz w:val="20"/>
          <w:szCs w:val="20"/>
        </w:rPr>
        <w:t>immersione subacquea</w:t>
      </w:r>
      <w:r w:rsidR="00B64FFA">
        <w:rPr>
          <w:i/>
          <w:sz w:val="20"/>
          <w:szCs w:val="20"/>
        </w:rPr>
        <w:t>“</w:t>
      </w:r>
      <w:r w:rsidR="005E32AE">
        <w:rPr>
          <w:i/>
          <w:sz w:val="20"/>
          <w:szCs w:val="20"/>
        </w:rPr>
        <w:t>.</w:t>
      </w:r>
    </w:p>
    <w:p w:rsidR="00711E08" w:rsidRDefault="00711E08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0"/>
          <w:szCs w:val="20"/>
        </w:rPr>
      </w:pPr>
    </w:p>
    <w:p w:rsidR="00E456B9" w:rsidRDefault="009F3F9F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 fine del rilascio dell’autorizzazione il sottoscritto </w:t>
      </w:r>
      <w:r w:rsidR="00E92E9C">
        <w:rPr>
          <w:bCs/>
          <w:sz w:val="20"/>
          <w:szCs w:val="20"/>
        </w:rPr>
        <w:t>allega</w:t>
      </w:r>
      <w:r w:rsidR="00E456B9">
        <w:rPr>
          <w:bCs/>
          <w:sz w:val="20"/>
          <w:szCs w:val="20"/>
        </w:rPr>
        <w:t>:</w:t>
      </w:r>
    </w:p>
    <w:p w:rsidR="00E456B9" w:rsidRDefault="00E92E9C" w:rsidP="005E32AE">
      <w:pPr>
        <w:pStyle w:val="Paragrafoelenco"/>
        <w:numPr>
          <w:ilvl w:val="0"/>
          <w:numId w:val="19"/>
        </w:numPr>
        <w:tabs>
          <w:tab w:val="left" w:pos="567"/>
        </w:tabs>
        <w:ind w:right="-1"/>
        <w:jc w:val="both"/>
        <w:rPr>
          <w:bCs/>
          <w:sz w:val="20"/>
          <w:szCs w:val="20"/>
        </w:rPr>
      </w:pPr>
      <w:r w:rsidRPr="00E456B9">
        <w:rPr>
          <w:bCs/>
          <w:sz w:val="20"/>
          <w:szCs w:val="20"/>
        </w:rPr>
        <w:t xml:space="preserve"> la documentazione di cui all</w:t>
      </w:r>
      <w:r w:rsidR="00F871E1">
        <w:rPr>
          <w:bCs/>
          <w:sz w:val="20"/>
          <w:szCs w:val="20"/>
        </w:rPr>
        <w:t>’art. 19</w:t>
      </w:r>
      <w:r w:rsidRPr="00E456B9">
        <w:rPr>
          <w:bCs/>
          <w:sz w:val="20"/>
          <w:szCs w:val="20"/>
        </w:rPr>
        <w:t xml:space="preserve"> del </w:t>
      </w:r>
      <w:r w:rsidR="00E456B9" w:rsidRPr="00E456B9">
        <w:rPr>
          <w:bCs/>
          <w:sz w:val="20"/>
          <w:szCs w:val="20"/>
        </w:rPr>
        <w:t>D.M. n.11 del 12 gennaio 2017, Regolamento di Esecuzione e Organizzazione</w:t>
      </w:r>
      <w:r w:rsidR="005E32AE">
        <w:rPr>
          <w:bCs/>
          <w:sz w:val="20"/>
          <w:szCs w:val="20"/>
        </w:rPr>
        <w:t xml:space="preserve"> (come sopra riportata).</w:t>
      </w:r>
    </w:p>
    <w:p w:rsidR="00711E08" w:rsidRDefault="00E456B9" w:rsidP="005E32AE">
      <w:pPr>
        <w:pStyle w:val="Paragrafoelenco"/>
        <w:numPr>
          <w:ilvl w:val="0"/>
          <w:numId w:val="19"/>
        </w:numPr>
        <w:tabs>
          <w:tab w:val="left" w:pos="567"/>
        </w:tabs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E456B9">
        <w:rPr>
          <w:bCs/>
          <w:sz w:val="20"/>
          <w:szCs w:val="20"/>
        </w:rPr>
        <w:t xml:space="preserve">la documentazione di cui all’art. </w:t>
      </w:r>
      <w:r w:rsidR="00F871E1">
        <w:rPr>
          <w:bCs/>
          <w:sz w:val="20"/>
          <w:szCs w:val="20"/>
        </w:rPr>
        <w:t>8</w:t>
      </w:r>
      <w:r w:rsidRPr="00E456B9">
        <w:rPr>
          <w:bCs/>
          <w:sz w:val="20"/>
          <w:szCs w:val="20"/>
        </w:rPr>
        <w:t xml:space="preserve"> del </w:t>
      </w:r>
      <w:r>
        <w:rPr>
          <w:bCs/>
          <w:sz w:val="20"/>
          <w:szCs w:val="20"/>
        </w:rPr>
        <w:t xml:space="preserve">Disciplinare Integrativo al </w:t>
      </w:r>
      <w:r w:rsidRPr="00E456B9">
        <w:rPr>
          <w:bCs/>
          <w:sz w:val="20"/>
          <w:szCs w:val="20"/>
        </w:rPr>
        <w:t>Regolamento di Esecuzione e Organizzazione</w:t>
      </w:r>
      <w:r w:rsidR="005E32AE">
        <w:rPr>
          <w:bCs/>
          <w:sz w:val="20"/>
          <w:szCs w:val="20"/>
        </w:rPr>
        <w:t xml:space="preserve"> (come sopra riportata).</w:t>
      </w:r>
    </w:p>
    <w:p w:rsidR="00E456B9" w:rsidRPr="00E456B9" w:rsidRDefault="00E456B9" w:rsidP="003A0818">
      <w:pPr>
        <w:pStyle w:val="Paragrafoelenco"/>
        <w:numPr>
          <w:ilvl w:val="0"/>
          <w:numId w:val="19"/>
        </w:numPr>
        <w:tabs>
          <w:tab w:val="left" w:pos="567"/>
        </w:tabs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ricevuta di paga</w:t>
      </w:r>
      <w:r w:rsidR="005A67AD">
        <w:rPr>
          <w:bCs/>
          <w:sz w:val="20"/>
          <w:szCs w:val="20"/>
        </w:rPr>
        <w:t>mento del corrispettivo dovuto</w:t>
      </w:r>
      <w:r w:rsidRPr="004462D3">
        <w:rPr>
          <w:sz w:val="20"/>
          <w:szCs w:val="20"/>
        </w:rPr>
        <w:t xml:space="preserve">, </w:t>
      </w:r>
      <w:r w:rsidR="003A0818" w:rsidRPr="003A0818">
        <w:rPr>
          <w:sz w:val="20"/>
          <w:szCs w:val="20"/>
        </w:rPr>
        <w:t>a titolo di diritto di segreteria e rimborso spese</w:t>
      </w:r>
      <w:r w:rsidR="003A0818">
        <w:rPr>
          <w:sz w:val="20"/>
          <w:szCs w:val="20"/>
        </w:rPr>
        <w:t xml:space="preserve"> </w:t>
      </w:r>
      <w:r w:rsidR="003A0818" w:rsidRPr="003A0818">
        <w:rPr>
          <w:sz w:val="20"/>
          <w:szCs w:val="20"/>
        </w:rPr>
        <w:t xml:space="preserve">tramite il sistema </w:t>
      </w:r>
      <w:proofErr w:type="spellStart"/>
      <w:r w:rsidR="003A0818" w:rsidRPr="003A0818">
        <w:rPr>
          <w:b/>
          <w:sz w:val="20"/>
          <w:szCs w:val="20"/>
        </w:rPr>
        <w:t>PagoPA</w:t>
      </w:r>
      <w:proofErr w:type="spellEnd"/>
      <w:r w:rsidR="003A0818" w:rsidRPr="003A0818">
        <w:rPr>
          <w:sz w:val="20"/>
          <w:szCs w:val="20"/>
        </w:rPr>
        <w:t xml:space="preserve"> del Consorzio disponibile all’indirizzo </w:t>
      </w:r>
      <w:hyperlink r:id="rId14" w:history="1">
        <w:r w:rsidR="003A0818" w:rsidRPr="00B75F70">
          <w:rPr>
            <w:rStyle w:val="Collegamentoipertestuale"/>
            <w:sz w:val="20"/>
            <w:szCs w:val="20"/>
          </w:rPr>
          <w:t>www.torredelcerrano.it</w:t>
        </w:r>
      </w:hyperlink>
      <w:r w:rsidR="005E32AE">
        <w:rPr>
          <w:i/>
          <w:sz w:val="20"/>
          <w:szCs w:val="20"/>
        </w:rPr>
        <w:t>.</w:t>
      </w:r>
    </w:p>
    <w:p w:rsidR="003A0311" w:rsidRPr="00E456B9" w:rsidRDefault="0096159D" w:rsidP="005E32AE">
      <w:pPr>
        <w:pStyle w:val="Paragrafoelenco"/>
        <w:numPr>
          <w:ilvl w:val="0"/>
          <w:numId w:val="19"/>
        </w:numPr>
        <w:tabs>
          <w:tab w:val="left" w:pos="567"/>
        </w:tabs>
        <w:ind w:right="-1"/>
        <w:jc w:val="both"/>
        <w:rPr>
          <w:bCs/>
          <w:sz w:val="22"/>
          <w:szCs w:val="22"/>
        </w:rPr>
      </w:pPr>
      <w:r w:rsidRPr="00E456B9">
        <w:rPr>
          <w:bCs/>
          <w:sz w:val="22"/>
          <w:szCs w:val="22"/>
        </w:rPr>
        <w:t>copia del</w:t>
      </w:r>
      <w:r w:rsidR="00F871E1">
        <w:rPr>
          <w:bCs/>
          <w:sz w:val="22"/>
          <w:szCs w:val="22"/>
        </w:rPr>
        <w:t xml:space="preserve"> proprio documento di identità,</w:t>
      </w:r>
    </w:p>
    <w:p w:rsidR="00F64364" w:rsidRPr="00F64364" w:rsidRDefault="0096159D" w:rsidP="005E32AE">
      <w:pPr>
        <w:pStyle w:val="Paragrafoelenco"/>
        <w:numPr>
          <w:ilvl w:val="0"/>
          <w:numId w:val="19"/>
        </w:numPr>
        <w:tabs>
          <w:tab w:val="left" w:pos="567"/>
        </w:tabs>
        <w:ind w:right="-1"/>
        <w:jc w:val="both"/>
        <w:rPr>
          <w:bCs/>
          <w:sz w:val="22"/>
          <w:szCs w:val="22"/>
        </w:rPr>
      </w:pPr>
      <w:r w:rsidRPr="00E456B9">
        <w:rPr>
          <w:sz w:val="21"/>
          <w:szCs w:val="21"/>
        </w:rPr>
        <w:t xml:space="preserve">n.1 marca da bollo da </w:t>
      </w:r>
      <w:r w:rsidRPr="005E32AE">
        <w:rPr>
          <w:b/>
          <w:sz w:val="21"/>
          <w:szCs w:val="21"/>
        </w:rPr>
        <w:t>euro 16,00</w:t>
      </w:r>
      <w:r w:rsidRPr="00E456B9">
        <w:rPr>
          <w:sz w:val="21"/>
          <w:szCs w:val="21"/>
        </w:rPr>
        <w:t>, come previsto nel DPR 26-10-1972 n.642, per la prima richiesta (non necessaria per i successivi rinnovi temporalmente collegati alla precedente</w:t>
      </w:r>
      <w:r>
        <w:rPr>
          <w:sz w:val="21"/>
          <w:szCs w:val="21"/>
        </w:rPr>
        <w:t>).</w:t>
      </w:r>
    </w:p>
    <w:p w:rsidR="0096159D" w:rsidRDefault="0096159D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chiede di voler recapitare il riscontro alla p</w:t>
      </w:r>
      <w:r w:rsidR="00277071">
        <w:rPr>
          <w:bCs/>
          <w:sz w:val="22"/>
          <w:szCs w:val="22"/>
        </w:rPr>
        <w:t xml:space="preserve">resente al seguente </w:t>
      </w:r>
      <w:r w:rsidR="00277071" w:rsidRPr="00F64364">
        <w:rPr>
          <w:bCs/>
          <w:sz w:val="18"/>
          <w:szCs w:val="18"/>
        </w:rPr>
        <w:t>indirizzo (</w:t>
      </w:r>
      <w:r w:rsidRPr="00F64364">
        <w:rPr>
          <w:bCs/>
          <w:sz w:val="18"/>
          <w:szCs w:val="18"/>
        </w:rPr>
        <w:t>se diverso</w:t>
      </w:r>
      <w:r w:rsidR="00F64364" w:rsidRPr="00F64364">
        <w:rPr>
          <w:bCs/>
          <w:sz w:val="18"/>
          <w:szCs w:val="18"/>
        </w:rPr>
        <w:t xml:space="preserve"> da quello di residenza</w:t>
      </w:r>
      <w:r w:rsidRPr="00F64364">
        <w:rPr>
          <w:bCs/>
          <w:sz w:val="18"/>
          <w:szCs w:val="18"/>
        </w:rPr>
        <w:t>)</w:t>
      </w:r>
      <w:r>
        <w:rPr>
          <w:bCs/>
          <w:sz w:val="22"/>
          <w:szCs w:val="22"/>
        </w:rPr>
        <w:t>: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Sig./Sig.ra _________________________________Via/Piazza________________________________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Città_______________________________________________         </w:t>
      </w:r>
      <w:proofErr w:type="spellStart"/>
      <w:r>
        <w:rPr>
          <w:bCs/>
          <w:sz w:val="22"/>
          <w:szCs w:val="22"/>
        </w:rPr>
        <w:t>cap</w:t>
      </w:r>
      <w:proofErr w:type="spellEnd"/>
      <w:r>
        <w:rPr>
          <w:bCs/>
          <w:sz w:val="22"/>
          <w:szCs w:val="22"/>
        </w:rPr>
        <w:t>________________________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Email:_____________________________________________________________________________</w:t>
      </w:r>
    </w:p>
    <w:p w:rsidR="005A67AD" w:rsidRDefault="005A67AD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Località_________________________ data____________</w:t>
      </w:r>
    </w:p>
    <w:p w:rsidR="00F64364" w:rsidRDefault="00F64364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</w:p>
    <w:p w:rsidR="003A0311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In fede</w:t>
      </w:r>
    </w:p>
    <w:p w:rsidR="003A0311" w:rsidRPr="00E427AD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i/>
          <w:sz w:val="20"/>
          <w:szCs w:val="20"/>
        </w:rPr>
      </w:pPr>
      <w:r w:rsidRPr="00E427AD">
        <w:rPr>
          <w:bCs/>
          <w:i/>
          <w:sz w:val="20"/>
          <w:szCs w:val="20"/>
        </w:rPr>
        <w:t>(Firma)</w:t>
      </w:r>
    </w:p>
    <w:p w:rsidR="003A0311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sz w:val="20"/>
          <w:szCs w:val="20"/>
        </w:rPr>
      </w:pPr>
    </w:p>
    <w:p w:rsidR="0096159D" w:rsidRDefault="003A0311" w:rsidP="005A67AD">
      <w:pPr>
        <w:tabs>
          <w:tab w:val="left" w:pos="567"/>
        </w:tabs>
        <w:spacing w:line="276" w:lineRule="auto"/>
        <w:ind w:left="5812" w:right="-1"/>
        <w:jc w:val="center"/>
        <w:rPr>
          <w:bCs/>
          <w:i/>
          <w:sz w:val="16"/>
          <w:szCs w:val="16"/>
        </w:rPr>
      </w:pPr>
      <w:r>
        <w:rPr>
          <w:bCs/>
          <w:sz w:val="20"/>
          <w:szCs w:val="20"/>
        </w:rPr>
        <w:t>…………………………………….</w:t>
      </w:r>
      <w:r w:rsidR="00D8390D">
        <w:rPr>
          <w:bCs/>
          <w:sz w:val="22"/>
          <w:szCs w:val="22"/>
        </w:rPr>
        <w:t xml:space="preserve">  </w:t>
      </w:r>
    </w:p>
    <w:sectPr w:rsidR="0096159D" w:rsidSect="004B62C3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1127" w:bottom="1135" w:left="1560" w:header="0" w:footer="2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39" w:rsidRDefault="007E6C39">
      <w:r>
        <w:separator/>
      </w:r>
    </w:p>
  </w:endnote>
  <w:endnote w:type="continuationSeparator" w:id="0">
    <w:p w:rsidR="007E6C39" w:rsidRDefault="007E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44" w:rsidRDefault="00E02D44" w:rsidP="00B67DF0">
    <w:pPr>
      <w:pStyle w:val="Pidipagina"/>
      <w:tabs>
        <w:tab w:val="clear" w:pos="9638"/>
        <w:tab w:val="right" w:pos="9781"/>
      </w:tabs>
      <w:ind w:right="-568"/>
      <w:jc w:val="right"/>
    </w:pPr>
    <w:r>
      <w:fldChar w:fldCharType="begin"/>
    </w:r>
    <w:r>
      <w:instrText>PAGE   \* MERGEFORMAT</w:instrText>
    </w:r>
    <w:r>
      <w:fldChar w:fldCharType="separate"/>
    </w:r>
    <w:r w:rsidR="00113918">
      <w:rPr>
        <w:noProof/>
      </w:rPr>
      <w:t>2</w:t>
    </w:r>
    <w:r>
      <w:fldChar w:fldCharType="end"/>
    </w:r>
    <w:r>
      <w:t xml:space="preserve">         </w:t>
    </w:r>
    <w:r>
      <w:rPr>
        <w:noProof/>
      </w:rPr>
      <w:drawing>
        <wp:inline distT="0" distB="0" distL="0" distR="0" wp14:anchorId="6BDB297C" wp14:editId="51D377B3">
          <wp:extent cx="548640" cy="197256"/>
          <wp:effectExtent l="4445" t="0" r="8255" b="8255"/>
          <wp:docPr id="10" name="Immagine 2" descr="Risultati immagini per recycled pap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Risultati immagini per recycled pap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0" t="33195" r="8298" b="36099"/>
                  <a:stretch/>
                </pic:blipFill>
                <pic:spPr bwMode="auto">
                  <a:xfrm rot="16200000">
                    <a:off x="0" y="0"/>
                    <a:ext cx="54864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02D44" w:rsidRDefault="00E02D44" w:rsidP="00CB59C6">
    <w:pPr>
      <w:pStyle w:val="Pidipagina"/>
      <w:ind w:left="-21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09" w:type="dxa"/>
      <w:tblInd w:w="-2127" w:type="dxa"/>
      <w:tblLook w:val="04A0" w:firstRow="1" w:lastRow="0" w:firstColumn="1" w:lastColumn="0" w:noHBand="0" w:noVBand="1"/>
    </w:tblPr>
    <w:tblGrid>
      <w:gridCol w:w="2661"/>
      <w:gridCol w:w="7654"/>
      <w:gridCol w:w="1247"/>
      <w:gridCol w:w="1247"/>
    </w:tblGrid>
    <w:tr w:rsidR="00E02D44" w:rsidTr="00B67DF0">
      <w:tc>
        <w:tcPr>
          <w:tcW w:w="2661" w:type="dxa"/>
          <w:shd w:val="clear" w:color="auto" w:fill="auto"/>
          <w:vAlign w:val="center"/>
        </w:tcPr>
        <w:p w:rsidR="00E02D44" w:rsidRDefault="00E02D44" w:rsidP="00C27D24">
          <w:pPr>
            <w:pStyle w:val="Pidipagina"/>
            <w:jc w:val="right"/>
          </w:pPr>
        </w:p>
      </w:tc>
      <w:tc>
        <w:tcPr>
          <w:tcW w:w="7654" w:type="dxa"/>
          <w:shd w:val="clear" w:color="auto" w:fill="auto"/>
        </w:tcPr>
        <w:p w:rsidR="00E02D44" w:rsidRDefault="00E02D44" w:rsidP="00C27D24">
          <w:pPr>
            <w:pStyle w:val="Pidipagina"/>
          </w:pPr>
        </w:p>
      </w:tc>
      <w:tc>
        <w:tcPr>
          <w:tcW w:w="1247" w:type="dxa"/>
          <w:shd w:val="clear" w:color="auto" w:fill="auto"/>
          <w:vAlign w:val="center"/>
        </w:tcPr>
        <w:p w:rsidR="00E02D44" w:rsidRDefault="00E02D44" w:rsidP="00C27D24">
          <w:pPr>
            <w:pStyle w:val="Pidipagina"/>
          </w:pPr>
          <w:r>
            <w:t xml:space="preserve">     </w:t>
          </w:r>
        </w:p>
      </w:tc>
      <w:tc>
        <w:tcPr>
          <w:tcW w:w="1247" w:type="dxa"/>
          <w:shd w:val="clear" w:color="auto" w:fill="auto"/>
        </w:tcPr>
        <w:p w:rsidR="00E02D44" w:rsidRDefault="00E02D44" w:rsidP="00C27D24">
          <w:pPr>
            <w:pStyle w:val="Pidipagina"/>
            <w:rPr>
              <w:noProof/>
            </w:rPr>
          </w:pPr>
          <w:r>
            <w:rPr>
              <w:noProof/>
            </w:rPr>
            <w:t xml:space="preserve"> </w:t>
          </w:r>
        </w:p>
      </w:tc>
    </w:tr>
  </w:tbl>
  <w:p w:rsidR="00E02D44" w:rsidRDefault="00E02D44" w:rsidP="00CB59C6">
    <w:pPr>
      <w:pStyle w:val="Pidipagina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39" w:rsidRDefault="007E6C39">
      <w:r>
        <w:separator/>
      </w:r>
    </w:p>
  </w:footnote>
  <w:footnote w:type="continuationSeparator" w:id="0">
    <w:p w:rsidR="007E6C39" w:rsidRDefault="007E6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44" w:rsidRDefault="00E02D44">
    <w:pPr>
      <w:pStyle w:val="Intestazione"/>
    </w:pPr>
  </w:p>
  <w:p w:rsidR="00E02D44" w:rsidRDefault="00E02D44" w:rsidP="00F64364">
    <w:pPr>
      <w:pStyle w:val="Intestazione"/>
      <w:jc w:val="center"/>
    </w:pPr>
    <w:r>
      <w:rPr>
        <w:noProof/>
      </w:rPr>
      <w:drawing>
        <wp:inline distT="0" distB="0" distL="0" distR="0" wp14:anchorId="631D11A1" wp14:editId="6D3A2CF2">
          <wp:extent cx="992037" cy="3058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rano-march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79" b="38495"/>
                  <a:stretch/>
                </pic:blipFill>
                <pic:spPr bwMode="auto">
                  <a:xfrm>
                    <a:off x="0" y="0"/>
                    <a:ext cx="992299" cy="305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02D44" w:rsidRDefault="00E02D44" w:rsidP="00A46990">
    <w:pPr>
      <w:pStyle w:val="Intestazione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44" w:rsidRDefault="00E02D44" w:rsidP="002C129E">
    <w:pPr>
      <w:pStyle w:val="Intestazione"/>
      <w:tabs>
        <w:tab w:val="clear" w:pos="9638"/>
        <w:tab w:val="right" w:pos="10348"/>
      </w:tabs>
      <w:ind w:left="-1560" w:right="-112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A4343"/>
    <w:multiLevelType w:val="hybridMultilevel"/>
    <w:tmpl w:val="24E86290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0A85"/>
    <w:multiLevelType w:val="hybridMultilevel"/>
    <w:tmpl w:val="DB3C1FA0"/>
    <w:lvl w:ilvl="0" w:tplc="FAECB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1848"/>
    <w:multiLevelType w:val="hybridMultilevel"/>
    <w:tmpl w:val="7514E13E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54B0"/>
    <w:multiLevelType w:val="hybridMultilevel"/>
    <w:tmpl w:val="4B98972E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B387F"/>
    <w:multiLevelType w:val="hybridMultilevel"/>
    <w:tmpl w:val="BEBCBFE0"/>
    <w:lvl w:ilvl="0" w:tplc="AD6A6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B18"/>
    <w:multiLevelType w:val="hybridMultilevel"/>
    <w:tmpl w:val="A8FEC4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098"/>
    <w:multiLevelType w:val="hybridMultilevel"/>
    <w:tmpl w:val="0A187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E348D"/>
    <w:multiLevelType w:val="hybridMultilevel"/>
    <w:tmpl w:val="8FE855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FD5D73"/>
    <w:multiLevelType w:val="hybridMultilevel"/>
    <w:tmpl w:val="B4E8B9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D459F"/>
    <w:multiLevelType w:val="hybridMultilevel"/>
    <w:tmpl w:val="9000DC54"/>
    <w:lvl w:ilvl="0" w:tplc="15BC268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7890"/>
    <w:multiLevelType w:val="hybridMultilevel"/>
    <w:tmpl w:val="F6B404D6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87EE2"/>
    <w:multiLevelType w:val="hybridMultilevel"/>
    <w:tmpl w:val="DCB82284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608EE"/>
    <w:multiLevelType w:val="hybridMultilevel"/>
    <w:tmpl w:val="77A8FE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E00ECC"/>
    <w:multiLevelType w:val="hybridMultilevel"/>
    <w:tmpl w:val="AF68C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84DF7"/>
    <w:multiLevelType w:val="hybridMultilevel"/>
    <w:tmpl w:val="9C18F2A6"/>
    <w:lvl w:ilvl="0" w:tplc="5D8423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96CE2"/>
    <w:multiLevelType w:val="hybridMultilevel"/>
    <w:tmpl w:val="DA58E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92E31"/>
    <w:multiLevelType w:val="hybridMultilevel"/>
    <w:tmpl w:val="A7C0E19E"/>
    <w:lvl w:ilvl="0" w:tplc="690C7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51D0F"/>
    <w:multiLevelType w:val="hybridMultilevel"/>
    <w:tmpl w:val="E738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33095"/>
    <w:multiLevelType w:val="hybridMultilevel"/>
    <w:tmpl w:val="0458E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EA3CC2"/>
    <w:multiLevelType w:val="hybridMultilevel"/>
    <w:tmpl w:val="3FA4CE64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36653"/>
    <w:multiLevelType w:val="hybridMultilevel"/>
    <w:tmpl w:val="BBE0FB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4F0CBA"/>
    <w:multiLevelType w:val="hybridMultilevel"/>
    <w:tmpl w:val="30663FE0"/>
    <w:lvl w:ilvl="0" w:tplc="164CC5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20"/>
  </w:num>
  <w:num w:numId="9">
    <w:abstractNumId w:val="4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19"/>
  </w:num>
  <w:num w:numId="16">
    <w:abstractNumId w:val="11"/>
  </w:num>
  <w:num w:numId="17">
    <w:abstractNumId w:val="16"/>
  </w:num>
  <w:num w:numId="18">
    <w:abstractNumId w:val="9"/>
  </w:num>
  <w:num w:numId="19">
    <w:abstractNumId w:val="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D"/>
    <w:rsid w:val="0000172A"/>
    <w:rsid w:val="00006B05"/>
    <w:rsid w:val="00013F87"/>
    <w:rsid w:val="00016003"/>
    <w:rsid w:val="000173DA"/>
    <w:rsid w:val="0005367D"/>
    <w:rsid w:val="00061883"/>
    <w:rsid w:val="000840F5"/>
    <w:rsid w:val="00096476"/>
    <w:rsid w:val="0009753E"/>
    <w:rsid w:val="000A0036"/>
    <w:rsid w:val="000A0F11"/>
    <w:rsid w:val="000A123C"/>
    <w:rsid w:val="000B26AD"/>
    <w:rsid w:val="000C1262"/>
    <w:rsid w:val="000C2660"/>
    <w:rsid w:val="000C50E6"/>
    <w:rsid w:val="000C77A5"/>
    <w:rsid w:val="000D32F0"/>
    <w:rsid w:val="000D427D"/>
    <w:rsid w:val="000F5B6D"/>
    <w:rsid w:val="000F65A3"/>
    <w:rsid w:val="001002EC"/>
    <w:rsid w:val="00113918"/>
    <w:rsid w:val="00114ACA"/>
    <w:rsid w:val="00127818"/>
    <w:rsid w:val="0013682F"/>
    <w:rsid w:val="00140EC5"/>
    <w:rsid w:val="00167383"/>
    <w:rsid w:val="00191048"/>
    <w:rsid w:val="00195762"/>
    <w:rsid w:val="001B4102"/>
    <w:rsid w:val="001B466A"/>
    <w:rsid w:val="001B70B1"/>
    <w:rsid w:val="001B7D60"/>
    <w:rsid w:val="001B7ECE"/>
    <w:rsid w:val="001C7F95"/>
    <w:rsid w:val="001D553E"/>
    <w:rsid w:val="001F078E"/>
    <w:rsid w:val="001F147B"/>
    <w:rsid w:val="001F1C1C"/>
    <w:rsid w:val="001F2EF1"/>
    <w:rsid w:val="002044FA"/>
    <w:rsid w:val="00215639"/>
    <w:rsid w:val="002230BC"/>
    <w:rsid w:val="0022460D"/>
    <w:rsid w:val="00225174"/>
    <w:rsid w:val="0027001C"/>
    <w:rsid w:val="00272032"/>
    <w:rsid w:val="00277071"/>
    <w:rsid w:val="00284053"/>
    <w:rsid w:val="002846B3"/>
    <w:rsid w:val="0028705A"/>
    <w:rsid w:val="00297C5D"/>
    <w:rsid w:val="002C129E"/>
    <w:rsid w:val="002C2CAE"/>
    <w:rsid w:val="002D1DB1"/>
    <w:rsid w:val="002D30D2"/>
    <w:rsid w:val="002D4FBB"/>
    <w:rsid w:val="002D50C1"/>
    <w:rsid w:val="002D5CA0"/>
    <w:rsid w:val="002E2CD8"/>
    <w:rsid w:val="002F3ADD"/>
    <w:rsid w:val="00303AB6"/>
    <w:rsid w:val="00303E34"/>
    <w:rsid w:val="00305FE0"/>
    <w:rsid w:val="003062C6"/>
    <w:rsid w:val="00307206"/>
    <w:rsid w:val="00325C97"/>
    <w:rsid w:val="00327BDC"/>
    <w:rsid w:val="00331865"/>
    <w:rsid w:val="003329B3"/>
    <w:rsid w:val="003421C1"/>
    <w:rsid w:val="00351466"/>
    <w:rsid w:val="0035600F"/>
    <w:rsid w:val="00371502"/>
    <w:rsid w:val="00374B27"/>
    <w:rsid w:val="00382460"/>
    <w:rsid w:val="003838CB"/>
    <w:rsid w:val="00383987"/>
    <w:rsid w:val="00397CF4"/>
    <w:rsid w:val="003A0311"/>
    <w:rsid w:val="003A05EE"/>
    <w:rsid w:val="003A0818"/>
    <w:rsid w:val="003B4AED"/>
    <w:rsid w:val="003C7E94"/>
    <w:rsid w:val="003D267E"/>
    <w:rsid w:val="003E1FEC"/>
    <w:rsid w:val="003F30AF"/>
    <w:rsid w:val="00404359"/>
    <w:rsid w:val="004115C8"/>
    <w:rsid w:val="0041522B"/>
    <w:rsid w:val="0041769A"/>
    <w:rsid w:val="00421B51"/>
    <w:rsid w:val="00443A03"/>
    <w:rsid w:val="00444765"/>
    <w:rsid w:val="004462D3"/>
    <w:rsid w:val="00452756"/>
    <w:rsid w:val="00453BAD"/>
    <w:rsid w:val="0046261A"/>
    <w:rsid w:val="00474E83"/>
    <w:rsid w:val="004837F6"/>
    <w:rsid w:val="00484914"/>
    <w:rsid w:val="00485715"/>
    <w:rsid w:val="00487BBA"/>
    <w:rsid w:val="00496AFD"/>
    <w:rsid w:val="004B62C3"/>
    <w:rsid w:val="004C0C9F"/>
    <w:rsid w:val="004C2306"/>
    <w:rsid w:val="004C25B4"/>
    <w:rsid w:val="004E525F"/>
    <w:rsid w:val="004F0A32"/>
    <w:rsid w:val="004F3CA6"/>
    <w:rsid w:val="00504858"/>
    <w:rsid w:val="00517A5F"/>
    <w:rsid w:val="00522EA5"/>
    <w:rsid w:val="00523FDB"/>
    <w:rsid w:val="00525FFF"/>
    <w:rsid w:val="00526F05"/>
    <w:rsid w:val="00536C4D"/>
    <w:rsid w:val="00557BBD"/>
    <w:rsid w:val="00572E8E"/>
    <w:rsid w:val="00575803"/>
    <w:rsid w:val="005967F1"/>
    <w:rsid w:val="005A116B"/>
    <w:rsid w:val="005A67AD"/>
    <w:rsid w:val="005D7337"/>
    <w:rsid w:val="005E1D05"/>
    <w:rsid w:val="005E32AE"/>
    <w:rsid w:val="005E6004"/>
    <w:rsid w:val="005F0850"/>
    <w:rsid w:val="006013D8"/>
    <w:rsid w:val="006042DD"/>
    <w:rsid w:val="00605FC3"/>
    <w:rsid w:val="006217E1"/>
    <w:rsid w:val="00625C03"/>
    <w:rsid w:val="00625F45"/>
    <w:rsid w:val="00644A52"/>
    <w:rsid w:val="00652C3F"/>
    <w:rsid w:val="00663670"/>
    <w:rsid w:val="00665712"/>
    <w:rsid w:val="006709D8"/>
    <w:rsid w:val="006775C8"/>
    <w:rsid w:val="006A6E27"/>
    <w:rsid w:val="006A7023"/>
    <w:rsid w:val="006B09FA"/>
    <w:rsid w:val="006B6059"/>
    <w:rsid w:val="006C27D4"/>
    <w:rsid w:val="006C34E9"/>
    <w:rsid w:val="006C4C12"/>
    <w:rsid w:val="006D0C2D"/>
    <w:rsid w:val="006D3EA4"/>
    <w:rsid w:val="006E7907"/>
    <w:rsid w:val="006F0210"/>
    <w:rsid w:val="006F5314"/>
    <w:rsid w:val="007028FF"/>
    <w:rsid w:val="0070333C"/>
    <w:rsid w:val="00711E08"/>
    <w:rsid w:val="0071441D"/>
    <w:rsid w:val="00715DB7"/>
    <w:rsid w:val="0072612A"/>
    <w:rsid w:val="00727198"/>
    <w:rsid w:val="00732B05"/>
    <w:rsid w:val="00743EEB"/>
    <w:rsid w:val="00744F71"/>
    <w:rsid w:val="00754951"/>
    <w:rsid w:val="00764D9B"/>
    <w:rsid w:val="00765B0D"/>
    <w:rsid w:val="00780CBD"/>
    <w:rsid w:val="00794247"/>
    <w:rsid w:val="007A56BA"/>
    <w:rsid w:val="007B2218"/>
    <w:rsid w:val="007B296E"/>
    <w:rsid w:val="007B79E7"/>
    <w:rsid w:val="007B7FC8"/>
    <w:rsid w:val="007C3316"/>
    <w:rsid w:val="007D28E9"/>
    <w:rsid w:val="007D5075"/>
    <w:rsid w:val="007D65E6"/>
    <w:rsid w:val="007E5FC6"/>
    <w:rsid w:val="007E6C39"/>
    <w:rsid w:val="007F736B"/>
    <w:rsid w:val="008122E6"/>
    <w:rsid w:val="0081575C"/>
    <w:rsid w:val="00824F3C"/>
    <w:rsid w:val="00830CAE"/>
    <w:rsid w:val="00831565"/>
    <w:rsid w:val="0084082A"/>
    <w:rsid w:val="00847061"/>
    <w:rsid w:val="00853D28"/>
    <w:rsid w:val="00863DDD"/>
    <w:rsid w:val="00866A34"/>
    <w:rsid w:val="00891B93"/>
    <w:rsid w:val="00892A47"/>
    <w:rsid w:val="008A3F00"/>
    <w:rsid w:val="008A5210"/>
    <w:rsid w:val="008B52DB"/>
    <w:rsid w:val="008B6528"/>
    <w:rsid w:val="008C485F"/>
    <w:rsid w:val="008C5FAA"/>
    <w:rsid w:val="008D263C"/>
    <w:rsid w:val="008D26B6"/>
    <w:rsid w:val="008D302A"/>
    <w:rsid w:val="008D4CF8"/>
    <w:rsid w:val="008D6888"/>
    <w:rsid w:val="008E01A7"/>
    <w:rsid w:val="008E4AA6"/>
    <w:rsid w:val="00905DD2"/>
    <w:rsid w:val="00932215"/>
    <w:rsid w:val="00936A54"/>
    <w:rsid w:val="0093751C"/>
    <w:rsid w:val="0094650F"/>
    <w:rsid w:val="0096159D"/>
    <w:rsid w:val="009621CB"/>
    <w:rsid w:val="0098322F"/>
    <w:rsid w:val="0098458E"/>
    <w:rsid w:val="009869A1"/>
    <w:rsid w:val="009931DC"/>
    <w:rsid w:val="009E538A"/>
    <w:rsid w:val="009F3F9F"/>
    <w:rsid w:val="009F57FA"/>
    <w:rsid w:val="00A0256B"/>
    <w:rsid w:val="00A06AAA"/>
    <w:rsid w:val="00A0714D"/>
    <w:rsid w:val="00A1249A"/>
    <w:rsid w:val="00A206A8"/>
    <w:rsid w:val="00A27841"/>
    <w:rsid w:val="00A27A1D"/>
    <w:rsid w:val="00A37119"/>
    <w:rsid w:val="00A40A3A"/>
    <w:rsid w:val="00A46990"/>
    <w:rsid w:val="00A54EEE"/>
    <w:rsid w:val="00A632FC"/>
    <w:rsid w:val="00A70D48"/>
    <w:rsid w:val="00A772A1"/>
    <w:rsid w:val="00A811C8"/>
    <w:rsid w:val="00A84EBB"/>
    <w:rsid w:val="00A84EC1"/>
    <w:rsid w:val="00A958C2"/>
    <w:rsid w:val="00AA7D10"/>
    <w:rsid w:val="00AB504D"/>
    <w:rsid w:val="00AC19B3"/>
    <w:rsid w:val="00AC7F19"/>
    <w:rsid w:val="00AD4946"/>
    <w:rsid w:val="00AD5ED7"/>
    <w:rsid w:val="00AD6888"/>
    <w:rsid w:val="00AE2053"/>
    <w:rsid w:val="00AE6D19"/>
    <w:rsid w:val="00AF244D"/>
    <w:rsid w:val="00B140A4"/>
    <w:rsid w:val="00B205F3"/>
    <w:rsid w:val="00B21E71"/>
    <w:rsid w:val="00B24CAC"/>
    <w:rsid w:val="00B46D5A"/>
    <w:rsid w:val="00B64FFA"/>
    <w:rsid w:val="00B67DF0"/>
    <w:rsid w:val="00B727DB"/>
    <w:rsid w:val="00B72FB1"/>
    <w:rsid w:val="00B76C4C"/>
    <w:rsid w:val="00B83960"/>
    <w:rsid w:val="00B9321E"/>
    <w:rsid w:val="00BA5133"/>
    <w:rsid w:val="00BB1CED"/>
    <w:rsid w:val="00BB2F41"/>
    <w:rsid w:val="00BB578D"/>
    <w:rsid w:val="00BB597B"/>
    <w:rsid w:val="00BB63EA"/>
    <w:rsid w:val="00BC2D0D"/>
    <w:rsid w:val="00BD102B"/>
    <w:rsid w:val="00BE05EC"/>
    <w:rsid w:val="00BE3B45"/>
    <w:rsid w:val="00BE51F6"/>
    <w:rsid w:val="00BF35B7"/>
    <w:rsid w:val="00C135C2"/>
    <w:rsid w:val="00C14C45"/>
    <w:rsid w:val="00C22AE3"/>
    <w:rsid w:val="00C24379"/>
    <w:rsid w:val="00C2500D"/>
    <w:rsid w:val="00C256DD"/>
    <w:rsid w:val="00C27D24"/>
    <w:rsid w:val="00C35E79"/>
    <w:rsid w:val="00C40EE7"/>
    <w:rsid w:val="00C42E83"/>
    <w:rsid w:val="00C507C8"/>
    <w:rsid w:val="00C55D79"/>
    <w:rsid w:val="00C64831"/>
    <w:rsid w:val="00C673E9"/>
    <w:rsid w:val="00C721B3"/>
    <w:rsid w:val="00C76CCB"/>
    <w:rsid w:val="00C842C0"/>
    <w:rsid w:val="00CA0D1F"/>
    <w:rsid w:val="00CA4C1E"/>
    <w:rsid w:val="00CB176C"/>
    <w:rsid w:val="00CB59C6"/>
    <w:rsid w:val="00CE241C"/>
    <w:rsid w:val="00CF4F77"/>
    <w:rsid w:val="00D02D6F"/>
    <w:rsid w:val="00D03965"/>
    <w:rsid w:val="00D10083"/>
    <w:rsid w:val="00D108F1"/>
    <w:rsid w:val="00D218A4"/>
    <w:rsid w:val="00D31F8E"/>
    <w:rsid w:val="00D45519"/>
    <w:rsid w:val="00D51C35"/>
    <w:rsid w:val="00D56B76"/>
    <w:rsid w:val="00D808EC"/>
    <w:rsid w:val="00D8390D"/>
    <w:rsid w:val="00D918BF"/>
    <w:rsid w:val="00D9697F"/>
    <w:rsid w:val="00DA1EBA"/>
    <w:rsid w:val="00DA30A4"/>
    <w:rsid w:val="00DB057B"/>
    <w:rsid w:val="00DC2990"/>
    <w:rsid w:val="00DC383E"/>
    <w:rsid w:val="00DC6EBD"/>
    <w:rsid w:val="00DD1A8B"/>
    <w:rsid w:val="00DE75CC"/>
    <w:rsid w:val="00DF74AC"/>
    <w:rsid w:val="00E01002"/>
    <w:rsid w:val="00E01A74"/>
    <w:rsid w:val="00E02D44"/>
    <w:rsid w:val="00E0610C"/>
    <w:rsid w:val="00E144E4"/>
    <w:rsid w:val="00E27C07"/>
    <w:rsid w:val="00E427AD"/>
    <w:rsid w:val="00E444C6"/>
    <w:rsid w:val="00E456B9"/>
    <w:rsid w:val="00E54E64"/>
    <w:rsid w:val="00E56DF1"/>
    <w:rsid w:val="00E63A74"/>
    <w:rsid w:val="00E86AF8"/>
    <w:rsid w:val="00E92E9C"/>
    <w:rsid w:val="00EB0295"/>
    <w:rsid w:val="00EC023A"/>
    <w:rsid w:val="00ED2E17"/>
    <w:rsid w:val="00EE47C3"/>
    <w:rsid w:val="00EF578A"/>
    <w:rsid w:val="00F0078C"/>
    <w:rsid w:val="00F17CBE"/>
    <w:rsid w:val="00F24B62"/>
    <w:rsid w:val="00F30134"/>
    <w:rsid w:val="00F317B3"/>
    <w:rsid w:val="00F41F51"/>
    <w:rsid w:val="00F64364"/>
    <w:rsid w:val="00F650A9"/>
    <w:rsid w:val="00F67D0E"/>
    <w:rsid w:val="00F712A5"/>
    <w:rsid w:val="00F77E6C"/>
    <w:rsid w:val="00F871E1"/>
    <w:rsid w:val="00F96D25"/>
    <w:rsid w:val="00FB3635"/>
    <w:rsid w:val="00FC0147"/>
    <w:rsid w:val="00FC3FF1"/>
    <w:rsid w:val="00FD2ED5"/>
    <w:rsid w:val="00FD5C98"/>
    <w:rsid w:val="00FE160A"/>
    <w:rsid w:val="00FE43E3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C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54951"/>
    <w:pPr>
      <w:keepNext/>
      <w:widowControl w:val="0"/>
      <w:tabs>
        <w:tab w:val="num" w:pos="576"/>
      </w:tabs>
      <w:suppressAutoHyphens/>
      <w:ind w:left="5400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22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2227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754951"/>
    <w:rPr>
      <w:rFonts w:ascii="Arial" w:eastAsia="Arial Unicode MS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B83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39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unhideWhenUsed/>
    <w:rsid w:val="00C673E9"/>
    <w:rPr>
      <w:color w:val="808080"/>
    </w:rPr>
  </w:style>
  <w:style w:type="character" w:customStyle="1" w:styleId="Titolo1Carattere">
    <w:name w:val="Titolo 1 Carattere"/>
    <w:link w:val="Titolo1"/>
    <w:uiPriority w:val="9"/>
    <w:rsid w:val="002C2C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7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17B3"/>
  </w:style>
  <w:style w:type="character" w:styleId="Rimandonotadichiusura">
    <w:name w:val="endnote reference"/>
    <w:uiPriority w:val="99"/>
    <w:semiHidden/>
    <w:unhideWhenUsed/>
    <w:rsid w:val="00F317B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D51C35"/>
    <w:rPr>
      <w:sz w:val="24"/>
      <w:szCs w:val="24"/>
    </w:rPr>
  </w:style>
  <w:style w:type="paragraph" w:styleId="Nessunaspaziatura">
    <w:name w:val="No Spacing"/>
    <w:uiPriority w:val="1"/>
    <w:qFormat/>
    <w:rsid w:val="006F5314"/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727198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4C2306"/>
  </w:style>
  <w:style w:type="character" w:customStyle="1" w:styleId="locality">
    <w:name w:val="locality"/>
    <w:basedOn w:val="Carpredefinitoparagrafo"/>
    <w:rsid w:val="004C230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3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C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54951"/>
    <w:pPr>
      <w:keepNext/>
      <w:widowControl w:val="0"/>
      <w:tabs>
        <w:tab w:val="num" w:pos="576"/>
      </w:tabs>
      <w:suppressAutoHyphens/>
      <w:ind w:left="5400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22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2227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754951"/>
    <w:rPr>
      <w:rFonts w:ascii="Arial" w:eastAsia="Arial Unicode MS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B83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39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uiPriority w:val="99"/>
    <w:unhideWhenUsed/>
    <w:rsid w:val="00C673E9"/>
    <w:rPr>
      <w:color w:val="808080"/>
    </w:rPr>
  </w:style>
  <w:style w:type="character" w:customStyle="1" w:styleId="Titolo1Carattere">
    <w:name w:val="Titolo 1 Carattere"/>
    <w:link w:val="Titolo1"/>
    <w:uiPriority w:val="9"/>
    <w:rsid w:val="002C2C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7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17B3"/>
  </w:style>
  <w:style w:type="character" w:styleId="Rimandonotadichiusura">
    <w:name w:val="endnote reference"/>
    <w:uiPriority w:val="99"/>
    <w:semiHidden/>
    <w:unhideWhenUsed/>
    <w:rsid w:val="00F317B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D51C35"/>
    <w:rPr>
      <w:sz w:val="24"/>
      <w:szCs w:val="24"/>
    </w:rPr>
  </w:style>
  <w:style w:type="paragraph" w:styleId="Nessunaspaziatura">
    <w:name w:val="No Spacing"/>
    <w:uiPriority w:val="1"/>
    <w:qFormat/>
    <w:rsid w:val="006F5314"/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727198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4C2306"/>
  </w:style>
  <w:style w:type="character" w:customStyle="1" w:styleId="locality">
    <w:name w:val="locality"/>
    <w:basedOn w:val="Carpredefinitoparagrafo"/>
    <w:rsid w:val="004C230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3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redelcerrano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orredelcerrano@pec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@torredelcerrano.it" TargetMode="External"/><Relationship Id="rId14" Type="http://schemas.openxmlformats.org/officeDocument/2006/relationships/hyperlink" Target="http://www.torredelcerra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E815-14CA-40AB-9C24-3EAF438F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-skdjfòlasjòslkfdòlksl</vt:lpstr>
    </vt:vector>
  </TitlesOfParts>
  <Company>SINTONIA  comunicazione</Company>
  <LinksUpToDate>false</LinksUpToDate>
  <CharactersWithSpaces>10512</CharactersWithSpaces>
  <SharedDoc>false</SharedDoc>
  <HLinks>
    <vt:vector size="18" baseType="variant">
      <vt:variant>
        <vt:i4>5898293</vt:i4>
      </vt:variant>
      <vt:variant>
        <vt:i4>6</vt:i4>
      </vt:variant>
      <vt:variant>
        <vt:i4>0</vt:i4>
      </vt:variant>
      <vt:variant>
        <vt:i4>5</vt:i4>
      </vt:variant>
      <vt:variant>
        <vt:lpwstr>mailto:giarratano.mariacarmela@minambiente.it</vt:lpwstr>
      </vt:variant>
      <vt:variant>
        <vt:lpwstr/>
      </vt:variant>
      <vt:variant>
        <vt:i4>5636205</vt:i4>
      </vt:variant>
      <vt:variant>
        <vt:i4>3</vt:i4>
      </vt:variant>
      <vt:variant>
        <vt:i4>0</vt:i4>
      </vt:variant>
      <vt:variant>
        <vt:i4>5</vt:i4>
      </vt:variant>
      <vt:variant>
        <vt:lpwstr>mailto:dgprotezione.natura@pec.minambiente.it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mailto:PNM-II@pec.minambiente.it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-skdjfòlasjòslkfdòlksl</dc:title>
  <dc:creator>Mac Pro</dc:creator>
  <cp:lastModifiedBy>Windows User</cp:lastModifiedBy>
  <cp:revision>15</cp:revision>
  <cp:lastPrinted>2018-03-01T10:00:00Z</cp:lastPrinted>
  <dcterms:created xsi:type="dcterms:W3CDTF">2018-02-09T09:31:00Z</dcterms:created>
  <dcterms:modified xsi:type="dcterms:W3CDTF">2022-01-26T10:12:00Z</dcterms:modified>
</cp:coreProperties>
</file>